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7D" w:rsidRDefault="00935285">
      <w:pPr>
        <w:spacing w:after="261" w:line="259" w:lineRule="auto"/>
        <w:ind w:left="0" w:right="3" w:firstLine="0"/>
        <w:jc w:val="center"/>
      </w:pPr>
      <w:bookmarkStart w:id="0" w:name="_GoBack"/>
      <w:bookmarkEnd w:id="0"/>
      <w:r>
        <w:rPr>
          <w:b/>
        </w:rPr>
        <w:t xml:space="preserve"> </w:t>
      </w:r>
    </w:p>
    <w:p w:rsidR="00CA157D" w:rsidRDefault="00935285">
      <w:pPr>
        <w:spacing w:after="259" w:line="259" w:lineRule="auto"/>
        <w:ind w:left="0" w:right="3" w:firstLine="0"/>
        <w:jc w:val="center"/>
      </w:pPr>
      <w:r>
        <w:rPr>
          <w:b/>
        </w:rPr>
        <w:t xml:space="preserve"> </w:t>
      </w:r>
    </w:p>
    <w:p w:rsidR="00CA157D" w:rsidRDefault="00935285">
      <w:pPr>
        <w:pStyle w:val="Heading1"/>
        <w:spacing w:after="268" w:line="249" w:lineRule="auto"/>
        <w:ind w:left="1760" w:right="49" w:hanging="10"/>
        <w:jc w:val="both"/>
      </w:pPr>
      <w:r>
        <w:rPr>
          <w:sz w:val="22"/>
        </w:rPr>
        <w:t xml:space="preserve">PRICE MODEL AND PRICE EVALUATION GUIDANCE </w:t>
      </w:r>
    </w:p>
    <w:p w:rsidR="00CA157D" w:rsidRDefault="00935285">
      <w:pPr>
        <w:spacing w:after="259" w:line="259" w:lineRule="auto"/>
        <w:ind w:left="0" w:right="1268" w:firstLine="0"/>
        <w:jc w:val="right"/>
      </w:pPr>
      <w:r>
        <w:rPr>
          <w:b/>
        </w:rPr>
        <w:t xml:space="preserve">PROJECT MANAGEMENT AND FULL DESIGN TEAM SERVICES </w:t>
      </w:r>
    </w:p>
    <w:p w:rsidR="00CA157D" w:rsidRDefault="00935285">
      <w:pPr>
        <w:spacing w:after="98" w:line="259" w:lineRule="auto"/>
        <w:ind w:left="0" w:right="3" w:firstLine="0"/>
        <w:jc w:val="center"/>
      </w:pPr>
      <w:r>
        <w:rPr>
          <w:b/>
        </w:rPr>
        <w:t xml:space="preserve"> </w:t>
      </w:r>
    </w:p>
    <w:p w:rsidR="00CA157D" w:rsidRDefault="00935285">
      <w:pPr>
        <w:spacing w:after="38" w:line="259" w:lineRule="auto"/>
        <w:ind w:left="10" w:right="64"/>
        <w:jc w:val="center"/>
      </w:pPr>
      <w:r>
        <w:rPr>
          <w:b/>
        </w:rPr>
        <w:t xml:space="preserve">REFERENCE NUMBER </w:t>
      </w:r>
    </w:p>
    <w:p w:rsidR="00CA157D" w:rsidRDefault="00935285">
      <w:pPr>
        <w:spacing w:after="40" w:line="259" w:lineRule="auto"/>
        <w:ind w:left="0" w:right="3" w:firstLine="0"/>
        <w:jc w:val="center"/>
      </w:pPr>
      <w:r>
        <w:rPr>
          <w:b/>
        </w:rPr>
        <w:t xml:space="preserve"> </w:t>
      </w:r>
    </w:p>
    <w:p w:rsidR="00CA157D" w:rsidRDefault="00935285">
      <w:pPr>
        <w:spacing w:after="38" w:line="259" w:lineRule="auto"/>
        <w:ind w:left="10" w:right="61"/>
        <w:jc w:val="center"/>
      </w:pPr>
      <w:r>
        <w:rPr>
          <w:b/>
        </w:rPr>
        <w:t xml:space="preserve">RM 3741 </w:t>
      </w:r>
    </w:p>
    <w:p w:rsidR="00CA157D" w:rsidRDefault="00935285">
      <w:pPr>
        <w:spacing w:after="40" w:line="259" w:lineRule="auto"/>
        <w:ind w:left="0" w:right="3" w:firstLine="0"/>
        <w:jc w:val="center"/>
      </w:pPr>
      <w:r>
        <w:rPr>
          <w:b/>
        </w:rPr>
        <w:t xml:space="preserve"> </w:t>
      </w:r>
    </w:p>
    <w:p w:rsidR="00CA157D" w:rsidRDefault="00935285">
      <w:pPr>
        <w:spacing w:after="259" w:line="259" w:lineRule="auto"/>
        <w:ind w:left="10" w:right="63"/>
        <w:jc w:val="center"/>
      </w:pPr>
      <w:r>
        <w:rPr>
          <w:b/>
        </w:rPr>
        <w:t xml:space="preserve">ATTACHMENT 18 </w:t>
      </w:r>
    </w:p>
    <w:p w:rsidR="00CA157D" w:rsidRDefault="00935285">
      <w:pPr>
        <w:spacing w:after="101" w:line="259" w:lineRule="auto"/>
        <w:ind w:left="0" w:right="3" w:firstLine="0"/>
        <w:jc w:val="center"/>
      </w:pPr>
      <w:r>
        <w:rPr>
          <w:b/>
        </w:rP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100" w:line="259" w:lineRule="auto"/>
        <w:ind w:left="0" w:right="3" w:firstLine="0"/>
        <w:jc w:val="center"/>
      </w:pPr>
      <w:r>
        <w:rPr>
          <w:b/>
        </w:rPr>
        <w:t xml:space="preserve"> </w:t>
      </w:r>
    </w:p>
    <w:p w:rsidR="00CA157D" w:rsidRDefault="00935285">
      <w:pPr>
        <w:spacing w:after="9" w:line="317" w:lineRule="auto"/>
      </w:pPr>
      <w:r>
        <w:t xml:space="preserve">These instructions are set out as follows:- </w:t>
      </w:r>
      <w:r>
        <w:rPr>
          <w:rFonts w:ascii="Segoe UI Symbol" w:eastAsia="Segoe UI Symbol" w:hAnsi="Segoe UI Symbol" w:cs="Segoe UI Symbol"/>
        </w:rPr>
        <w:t></w:t>
      </w:r>
      <w:r>
        <w:t xml:space="preserve"> </w:t>
      </w:r>
      <w:r>
        <w:tab/>
        <w:t xml:space="preserve">Introduction to Price Model Workbooks </w:t>
      </w:r>
    </w:p>
    <w:p w:rsidR="00CA157D" w:rsidRDefault="00935285">
      <w:pPr>
        <w:numPr>
          <w:ilvl w:val="0"/>
          <w:numId w:val="1"/>
        </w:numPr>
        <w:ind w:right="50" w:hanging="425"/>
      </w:pPr>
      <w:r>
        <w:t xml:space="preserve">Instructions for Completion – Price Model Workbook (Part 1 Project Fee Percentages) </w:t>
      </w:r>
    </w:p>
    <w:p w:rsidR="00CA157D" w:rsidRDefault="00935285">
      <w:pPr>
        <w:numPr>
          <w:ilvl w:val="0"/>
          <w:numId w:val="1"/>
        </w:numPr>
        <w:spacing w:after="88"/>
        <w:ind w:right="50" w:hanging="425"/>
      </w:pPr>
      <w:r>
        <w:t xml:space="preserve">Instructions for Completion – Price Model Workbook (Part 2 Time Charge Fees) </w:t>
      </w:r>
    </w:p>
    <w:p w:rsidR="00CA157D" w:rsidRDefault="00935285">
      <w:pPr>
        <w:numPr>
          <w:ilvl w:val="0"/>
          <w:numId w:val="1"/>
        </w:numPr>
        <w:spacing w:after="91"/>
        <w:ind w:right="50" w:hanging="425"/>
      </w:pPr>
      <w:r>
        <w:t xml:space="preserve">Instructions for Completion – Price Model Workbook (Part 3 Regional Variations)  </w:t>
      </w:r>
    </w:p>
    <w:p w:rsidR="00CA157D" w:rsidRDefault="00935285">
      <w:pPr>
        <w:numPr>
          <w:ilvl w:val="0"/>
          <w:numId w:val="1"/>
        </w:numPr>
        <w:ind w:right="50" w:hanging="425"/>
      </w:pPr>
      <w:r>
        <w:t xml:space="preserve">Price Evaluation Process </w:t>
      </w:r>
    </w:p>
    <w:p w:rsidR="00CA157D" w:rsidRDefault="00935285">
      <w:pPr>
        <w:numPr>
          <w:ilvl w:val="0"/>
          <w:numId w:val="1"/>
        </w:numPr>
        <w:spacing w:after="90"/>
        <w:ind w:right="50" w:hanging="425"/>
      </w:pPr>
      <w:r>
        <w:t xml:space="preserve">ANNEX A – Disciplines &amp; Services </w:t>
      </w:r>
    </w:p>
    <w:p w:rsidR="00CA157D" w:rsidRDefault="00935285">
      <w:pPr>
        <w:numPr>
          <w:ilvl w:val="0"/>
          <w:numId w:val="1"/>
        </w:numPr>
        <w:spacing w:after="75"/>
        <w:ind w:right="50" w:hanging="425"/>
      </w:pPr>
      <w:r>
        <w:t xml:space="preserve">ANNEX B – Evaluation Weightings  </w:t>
      </w:r>
    </w:p>
    <w:p w:rsidR="00CA157D" w:rsidRDefault="00935285">
      <w:pPr>
        <w:ind w:right="50"/>
      </w:pPr>
      <w:r>
        <w:t xml:space="preserve">These instructions are applicable for </w:t>
      </w:r>
      <w:r>
        <w:rPr>
          <w:u w:val="single" w:color="000000"/>
        </w:rPr>
        <w:t>all</w:t>
      </w:r>
      <w:r>
        <w:t xml:space="preserve"> six (6) Lots for the Project Management and Full Design Team Services (PMFDTS) Framework. </w:t>
      </w:r>
    </w:p>
    <w:p w:rsidR="00CA157D" w:rsidRDefault="00935285">
      <w:pPr>
        <w:ind w:right="50"/>
      </w:pPr>
      <w:r>
        <w:t xml:space="preserve">Potential Providers responding to this Tender shall read and fully understand how the Price Model workbooks are completed and adhere to these instructions on how to complete the Price Model and how it will be evaluated. </w:t>
      </w:r>
    </w:p>
    <w:p w:rsidR="00CA157D" w:rsidRDefault="00935285">
      <w:pPr>
        <w:ind w:right="50"/>
      </w:pPr>
      <w:r>
        <w:t xml:space="preserve">These instructions apply to Potential Providers submitting a Tender for one or more Lots either in their own name or as part of a Group of Economic Operators.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lastRenderedPageBreak/>
        <w:t xml:space="preserve"> </w:t>
      </w:r>
    </w:p>
    <w:p w:rsidR="00CA157D" w:rsidRDefault="00935285">
      <w:pPr>
        <w:spacing w:after="0" w:line="259" w:lineRule="auto"/>
        <w:ind w:left="0" w:right="0" w:firstLine="0"/>
        <w:jc w:val="left"/>
      </w:pPr>
      <w:r>
        <w:t xml:space="preserve"> </w:t>
      </w:r>
      <w:r>
        <w:tab/>
      </w:r>
      <w:r>
        <w:rPr>
          <w:b/>
        </w:rPr>
        <w:t xml:space="preserve"> </w:t>
      </w:r>
      <w:r>
        <w:br w:type="page"/>
      </w:r>
    </w:p>
    <w:p w:rsidR="00CA157D" w:rsidRDefault="00935285">
      <w:pPr>
        <w:pStyle w:val="Heading1"/>
        <w:spacing w:after="218"/>
        <w:ind w:left="-5" w:hanging="10"/>
      </w:pPr>
      <w:r>
        <w:rPr>
          <w:sz w:val="22"/>
          <w:u w:val="single" w:color="000000"/>
        </w:rPr>
        <w:lastRenderedPageBreak/>
        <w:t>INTRODUCTION TO PRICE MODEL WORKBOOKS</w:t>
      </w:r>
      <w:r>
        <w:rPr>
          <w:sz w:val="22"/>
        </w:rPr>
        <w:t xml:space="preserve"> </w:t>
      </w:r>
    </w:p>
    <w:p w:rsidR="00CA157D" w:rsidRDefault="00935285">
      <w:pPr>
        <w:pStyle w:val="Heading2"/>
        <w:tabs>
          <w:tab w:val="center" w:pos="1351"/>
        </w:tabs>
        <w:ind w:left="-15" w:firstLine="0"/>
        <w:jc w:val="left"/>
      </w:pPr>
      <w:r>
        <w:t xml:space="preserve">1. </w:t>
      </w:r>
      <w:r>
        <w:tab/>
        <w:t xml:space="preserve">Introduction </w:t>
      </w:r>
    </w:p>
    <w:p w:rsidR="00CA157D" w:rsidRDefault="00935285">
      <w:pPr>
        <w:spacing w:after="231"/>
        <w:ind w:left="693" w:right="50" w:hanging="708"/>
      </w:pPr>
      <w:r>
        <w:t xml:space="preserve">1.1. These instructions are provided to assist all Potential Providers in the completion of the Price Model workbooks. Potential Providers shall also ensure that they comply with any instruction contained within the individual Price Model workbooks. </w:t>
      </w:r>
    </w:p>
    <w:p w:rsidR="00CA157D" w:rsidRDefault="00935285">
      <w:pPr>
        <w:pStyle w:val="Heading2"/>
        <w:tabs>
          <w:tab w:val="center" w:pos="1625"/>
        </w:tabs>
        <w:ind w:left="-15" w:firstLine="0"/>
        <w:jc w:val="left"/>
      </w:pPr>
      <w:r>
        <w:t xml:space="preserve">2. </w:t>
      </w:r>
      <w:r>
        <w:tab/>
        <w:t xml:space="preserve">Overall Approach </w:t>
      </w:r>
    </w:p>
    <w:p w:rsidR="00CA157D" w:rsidRDefault="00935285">
      <w:pPr>
        <w:ind w:left="693" w:right="50" w:hanging="708"/>
      </w:pPr>
      <w:r>
        <w:t xml:space="preserve">2.1. Potential Providers are required to submit pricing for Percentage Project Fees and Time Charge Fees within the Price Model workbooks for each Lot for which they are submitting a Tender.   </w:t>
      </w:r>
    </w:p>
    <w:p w:rsidR="00CA157D" w:rsidRDefault="00935285">
      <w:pPr>
        <w:ind w:left="693" w:right="50" w:hanging="708"/>
      </w:pPr>
      <w:r>
        <w:t xml:space="preserve">2.2. Each Lot comprises of one or more Core Service Disciplines.  The Potential Provider shall complete </w:t>
      </w:r>
      <w:r>
        <w:rPr>
          <w:u w:val="single" w:color="000000"/>
        </w:rPr>
        <w:t>all</w:t>
      </w:r>
      <w:r>
        <w:t xml:space="preserve"> necessary cells in the workbooks for each of the Core Service Disciplines applicable to that Lot for which it is submitting a Tender.  Any Potential Provider who fails to fully complete each of the Price Model workbooks for each applicable Lot, for which it is submitting a Tender, may be excluded from further participation in this Procurement. </w:t>
      </w:r>
    </w:p>
    <w:p w:rsidR="00CA157D" w:rsidRDefault="00935285">
      <w:pPr>
        <w:spacing w:after="229"/>
        <w:ind w:left="693" w:right="50" w:hanging="708"/>
      </w:pPr>
      <w:r>
        <w:t xml:space="preserve">2.3. The groupings of Core Service Disciplines by Lot are provided in paragraph 3 below.  The Prices submitted by the Potential Provider within each completed Price Model workbook will be evaluated in accordance with the groupings of Core Service Disciplines relevant to that Lot.  A weighting will be applied to the Prices submitted as set out in each Price Model workbook.   </w:t>
      </w:r>
    </w:p>
    <w:p w:rsidR="00CA157D" w:rsidRDefault="00935285">
      <w:pPr>
        <w:pStyle w:val="Heading2"/>
        <w:tabs>
          <w:tab w:val="center" w:pos="1265"/>
        </w:tabs>
        <w:ind w:left="-15" w:firstLine="0"/>
        <w:jc w:val="left"/>
      </w:pPr>
      <w:r>
        <w:t xml:space="preserve">3. </w:t>
      </w:r>
      <w:r>
        <w:tab/>
        <w:t>Groupings</w:t>
      </w:r>
      <w:r>
        <w:rPr>
          <w:b w:val="0"/>
        </w:rPr>
        <w:t xml:space="preserve"> </w:t>
      </w:r>
    </w:p>
    <w:p w:rsidR="00CA157D" w:rsidRDefault="00935285">
      <w:pPr>
        <w:ind w:left="693" w:right="50" w:hanging="708"/>
      </w:pPr>
      <w:r>
        <w:t>3.1. Potential Providers shall note that Core Service Disciplines are grouped together for pricing purposes.  The Potential Provider shall refer to Attachment 9 – Framework Schedule 2: Services and Key Performance Indicators and Attachment 9a – Annex A – Schedule of Services,</w:t>
      </w:r>
      <w:r>
        <w:rPr>
          <w:b/>
        </w:rPr>
        <w:t xml:space="preserve"> </w:t>
      </w:r>
      <w:r>
        <w:t xml:space="preserve">where the full scope of Services for each Core Service Discipline is described.   </w:t>
      </w:r>
    </w:p>
    <w:p w:rsidR="00CA157D" w:rsidRDefault="00935285">
      <w:pPr>
        <w:ind w:left="693" w:right="50" w:hanging="708"/>
      </w:pPr>
      <w:r>
        <w:t xml:space="preserve">3.2. Where Core Service Disciplines are grouped together, the Potential Provider shall submit a single Price to provide the Service.  For example, Lot 2 – Project Management comprises three (3) separately defined Core Service Disciplines and Schedule of Service i.e. Project Lead, Client Adviser and Contract Administrator.  The Potential Provider shall provide a Price for undertaking all of the required Services for the grouped Core Service Disciplines. </w:t>
      </w:r>
    </w:p>
    <w:p w:rsidR="00CA157D" w:rsidRDefault="00935285">
      <w:pPr>
        <w:spacing w:after="0" w:line="259" w:lineRule="auto"/>
        <w:ind w:left="360" w:right="0" w:firstLine="0"/>
        <w:jc w:val="left"/>
      </w:pPr>
      <w:r>
        <w:t xml:space="preserve"> </w:t>
      </w:r>
    </w:p>
    <w:p w:rsidR="00CA157D" w:rsidRDefault="00935285">
      <w:pPr>
        <w:tabs>
          <w:tab w:val="center" w:pos="4303"/>
        </w:tabs>
        <w:spacing w:after="11"/>
        <w:ind w:left="-15" w:right="0" w:firstLine="0"/>
        <w:jc w:val="left"/>
      </w:pPr>
      <w:r>
        <w:t xml:space="preserve">3.3. </w:t>
      </w:r>
      <w:r>
        <w:tab/>
        <w:t xml:space="preserve">The table below sets out the groupings of Core Service Disciplines by Lot. </w:t>
      </w:r>
    </w:p>
    <w:tbl>
      <w:tblPr>
        <w:tblStyle w:val="TableGrid"/>
        <w:tblW w:w="8037" w:type="dxa"/>
        <w:tblInd w:w="995" w:type="dxa"/>
        <w:tblCellMar>
          <w:top w:w="5" w:type="dxa"/>
          <w:left w:w="107" w:type="dxa"/>
          <w:right w:w="47" w:type="dxa"/>
        </w:tblCellMar>
        <w:tblLook w:val="04A0" w:firstRow="1" w:lastRow="0" w:firstColumn="1" w:lastColumn="0" w:noHBand="0" w:noVBand="1"/>
      </w:tblPr>
      <w:tblGrid>
        <w:gridCol w:w="4108"/>
        <w:gridCol w:w="3929"/>
      </w:tblGrid>
      <w:tr w:rsidR="00CA157D">
        <w:trPr>
          <w:trHeight w:val="635"/>
        </w:trPr>
        <w:tc>
          <w:tcPr>
            <w:tcW w:w="4108"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t xml:space="preserve">Lot Description/Discipline </w:t>
            </w:r>
          </w:p>
        </w:tc>
        <w:tc>
          <w:tcPr>
            <w:tcW w:w="3929"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2" w:right="0" w:firstLine="0"/>
              <w:jc w:val="left"/>
            </w:pPr>
            <w:r>
              <w:rPr>
                <w:b/>
              </w:rPr>
              <w:t xml:space="preserve">Price Model workbooks to be completed </w:t>
            </w:r>
          </w:p>
        </w:tc>
      </w:tr>
      <w:tr w:rsidR="00CA157D">
        <w:trPr>
          <w:trHeight w:val="380"/>
        </w:trPr>
        <w:tc>
          <w:tcPr>
            <w:tcW w:w="8037" w:type="dxa"/>
            <w:gridSpan w:val="2"/>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0" w:right="0" w:firstLine="0"/>
              <w:jc w:val="left"/>
            </w:pPr>
            <w:r>
              <w:t xml:space="preserve">Lot 1 – Project Management &amp; Full Design Team Services </w:t>
            </w:r>
          </w:p>
        </w:tc>
      </w:tr>
      <w:tr w:rsidR="00CA157D">
        <w:trPr>
          <w:trHeight w:val="2423"/>
        </w:trPr>
        <w:tc>
          <w:tcPr>
            <w:tcW w:w="4108"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0"/>
              </w:numPr>
              <w:spacing w:after="0" w:line="259" w:lineRule="auto"/>
              <w:ind w:right="0" w:hanging="360"/>
              <w:jc w:val="left"/>
            </w:pPr>
            <w:r>
              <w:lastRenderedPageBreak/>
              <w:t xml:space="preserve">Project Lead </w:t>
            </w:r>
          </w:p>
          <w:p w:rsidR="00CA157D" w:rsidRDefault="00935285">
            <w:pPr>
              <w:numPr>
                <w:ilvl w:val="0"/>
                <w:numId w:val="10"/>
              </w:numPr>
              <w:spacing w:after="0" w:line="259" w:lineRule="auto"/>
              <w:ind w:right="0" w:hanging="360"/>
              <w:jc w:val="left"/>
            </w:pPr>
            <w:r>
              <w:t xml:space="preserve">Client Adviser </w:t>
            </w:r>
          </w:p>
          <w:p w:rsidR="00CA157D" w:rsidRDefault="00935285">
            <w:pPr>
              <w:numPr>
                <w:ilvl w:val="0"/>
                <w:numId w:val="10"/>
              </w:numPr>
              <w:spacing w:after="0" w:line="259" w:lineRule="auto"/>
              <w:ind w:right="0" w:hanging="360"/>
              <w:jc w:val="left"/>
            </w:pPr>
            <w:r>
              <w:t xml:space="preserve">Contract Administrator </w:t>
            </w:r>
          </w:p>
          <w:p w:rsidR="00CA157D" w:rsidRDefault="00935285">
            <w:pPr>
              <w:numPr>
                <w:ilvl w:val="0"/>
                <w:numId w:val="10"/>
              </w:numPr>
              <w:spacing w:after="0" w:line="259" w:lineRule="auto"/>
              <w:ind w:right="0" w:hanging="360"/>
              <w:jc w:val="left"/>
            </w:pPr>
            <w:r>
              <w:t xml:space="preserve">Cost Consultant </w:t>
            </w:r>
          </w:p>
          <w:p w:rsidR="00CA157D" w:rsidRDefault="00935285">
            <w:pPr>
              <w:numPr>
                <w:ilvl w:val="0"/>
                <w:numId w:val="10"/>
              </w:numPr>
              <w:spacing w:after="0" w:line="259" w:lineRule="auto"/>
              <w:ind w:right="0" w:hanging="360"/>
              <w:jc w:val="left"/>
            </w:pPr>
            <w:r>
              <w:t xml:space="preserve">Architect </w:t>
            </w:r>
          </w:p>
          <w:p w:rsidR="00CA157D" w:rsidRDefault="00935285">
            <w:pPr>
              <w:numPr>
                <w:ilvl w:val="0"/>
                <w:numId w:val="10"/>
              </w:numPr>
              <w:spacing w:after="0" w:line="259" w:lineRule="auto"/>
              <w:ind w:right="0" w:hanging="360"/>
              <w:jc w:val="left"/>
            </w:pPr>
            <w:r>
              <w:t xml:space="preserve">Lead Designer </w:t>
            </w:r>
          </w:p>
          <w:p w:rsidR="00CA157D" w:rsidRDefault="00935285">
            <w:pPr>
              <w:numPr>
                <w:ilvl w:val="0"/>
                <w:numId w:val="10"/>
              </w:numPr>
              <w:spacing w:after="0" w:line="259" w:lineRule="auto"/>
              <w:ind w:right="0" w:hanging="360"/>
              <w:jc w:val="left"/>
            </w:pPr>
            <w:r>
              <w:t xml:space="preserve">Civil and Structural Engineer </w:t>
            </w:r>
          </w:p>
          <w:p w:rsidR="00CA157D" w:rsidRDefault="00935285">
            <w:pPr>
              <w:numPr>
                <w:ilvl w:val="0"/>
                <w:numId w:val="10"/>
              </w:numPr>
              <w:spacing w:after="0" w:line="259" w:lineRule="auto"/>
              <w:ind w:right="0" w:hanging="360"/>
              <w:jc w:val="left"/>
            </w:pPr>
            <w:r>
              <w:t xml:space="preserve">Building Services Engineer </w:t>
            </w:r>
          </w:p>
          <w:p w:rsidR="00CA157D" w:rsidRDefault="00935285">
            <w:pPr>
              <w:numPr>
                <w:ilvl w:val="0"/>
                <w:numId w:val="10"/>
              </w:numPr>
              <w:spacing w:after="0" w:line="259" w:lineRule="auto"/>
              <w:ind w:right="0" w:hanging="360"/>
              <w:jc w:val="left"/>
            </w:pPr>
            <w:r>
              <w:t xml:space="preserve">Principal Designer </w:t>
            </w:r>
          </w:p>
        </w:tc>
        <w:tc>
          <w:tcPr>
            <w:tcW w:w="3929"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1"/>
              </w:numPr>
              <w:spacing w:after="0" w:line="259" w:lineRule="auto"/>
              <w:ind w:left="318" w:right="0" w:hanging="283"/>
              <w:jc w:val="left"/>
            </w:pPr>
            <w:r>
              <w:t xml:space="preserve">10a – Architect (Lot 1) </w:t>
            </w:r>
          </w:p>
          <w:p w:rsidR="00CA157D" w:rsidRDefault="00935285">
            <w:pPr>
              <w:numPr>
                <w:ilvl w:val="0"/>
                <w:numId w:val="11"/>
              </w:numPr>
              <w:spacing w:after="0" w:line="259" w:lineRule="auto"/>
              <w:ind w:left="318" w:right="0" w:hanging="283"/>
              <w:jc w:val="left"/>
            </w:pPr>
            <w:r>
              <w:t xml:space="preserve">10b - BIM Co-ordinator (Lot 1) </w:t>
            </w:r>
          </w:p>
          <w:p w:rsidR="00CA157D" w:rsidRDefault="00935285">
            <w:pPr>
              <w:numPr>
                <w:ilvl w:val="0"/>
                <w:numId w:val="11"/>
              </w:numPr>
              <w:spacing w:after="0" w:line="259" w:lineRule="auto"/>
              <w:ind w:left="318" w:right="0" w:hanging="283"/>
              <w:jc w:val="left"/>
            </w:pPr>
            <w:r>
              <w:t xml:space="preserve">10c - BIM Information Manager </w:t>
            </w:r>
          </w:p>
          <w:p w:rsidR="00CA157D" w:rsidRDefault="00935285">
            <w:pPr>
              <w:spacing w:after="0" w:line="259" w:lineRule="auto"/>
              <w:ind w:left="319" w:right="0" w:firstLine="0"/>
              <w:jc w:val="left"/>
            </w:pPr>
            <w:r>
              <w:t xml:space="preserve">(Lot 1) </w:t>
            </w:r>
          </w:p>
          <w:p w:rsidR="00CA157D" w:rsidRDefault="00935285">
            <w:pPr>
              <w:numPr>
                <w:ilvl w:val="0"/>
                <w:numId w:val="11"/>
              </w:numPr>
              <w:spacing w:after="16" w:line="240" w:lineRule="auto"/>
              <w:ind w:left="318" w:right="0" w:hanging="283"/>
              <w:jc w:val="left"/>
            </w:pPr>
            <w:r>
              <w:t xml:space="preserve">10d - Building Services Engineer (Lot 1)  </w:t>
            </w:r>
          </w:p>
          <w:p w:rsidR="00CA157D" w:rsidRDefault="00935285">
            <w:pPr>
              <w:numPr>
                <w:ilvl w:val="0"/>
                <w:numId w:val="11"/>
              </w:numPr>
              <w:spacing w:after="16" w:line="240" w:lineRule="auto"/>
              <w:ind w:left="318" w:right="0" w:hanging="283"/>
              <w:jc w:val="left"/>
            </w:pPr>
            <w:r>
              <w:t xml:space="preserve">10e - Civil and Structural Engineer (Lot 1)  </w:t>
            </w:r>
          </w:p>
          <w:p w:rsidR="00CA157D" w:rsidRDefault="00935285">
            <w:pPr>
              <w:numPr>
                <w:ilvl w:val="0"/>
                <w:numId w:val="11"/>
              </w:numPr>
              <w:spacing w:after="0" w:line="259" w:lineRule="auto"/>
              <w:ind w:left="318" w:right="0" w:hanging="283"/>
              <w:jc w:val="left"/>
            </w:pPr>
            <w:r>
              <w:t xml:space="preserve">10f - Cost Consultant (Lot 1)  </w:t>
            </w:r>
          </w:p>
        </w:tc>
      </w:tr>
      <w:tr w:rsidR="00CA157D">
        <w:trPr>
          <w:trHeight w:val="634"/>
        </w:trPr>
        <w:tc>
          <w:tcPr>
            <w:tcW w:w="4108"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t xml:space="preserve">Lot Description/Discipline </w:t>
            </w:r>
          </w:p>
        </w:tc>
        <w:tc>
          <w:tcPr>
            <w:tcW w:w="3929"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2" w:right="0" w:firstLine="0"/>
              <w:jc w:val="left"/>
            </w:pPr>
            <w:r>
              <w:rPr>
                <w:b/>
              </w:rPr>
              <w:t xml:space="preserve">Price Model workbooks to be completed </w:t>
            </w:r>
          </w:p>
        </w:tc>
      </w:tr>
      <w:tr w:rsidR="00CA157D">
        <w:trPr>
          <w:trHeight w:val="936"/>
        </w:trPr>
        <w:tc>
          <w:tcPr>
            <w:tcW w:w="4108"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2"/>
              </w:numPr>
              <w:spacing w:after="0" w:line="259" w:lineRule="auto"/>
              <w:ind w:right="0" w:hanging="360"/>
              <w:jc w:val="left"/>
            </w:pPr>
            <w:r>
              <w:t xml:space="preserve">BIM Information Manager </w:t>
            </w:r>
          </w:p>
          <w:p w:rsidR="00CA157D" w:rsidRDefault="00935285">
            <w:pPr>
              <w:numPr>
                <w:ilvl w:val="0"/>
                <w:numId w:val="12"/>
              </w:numPr>
              <w:spacing w:after="0" w:line="259" w:lineRule="auto"/>
              <w:ind w:right="0" w:hanging="360"/>
              <w:jc w:val="left"/>
            </w:pPr>
            <w:r>
              <w:t xml:space="preserve">BIM Co-Ordinator </w:t>
            </w:r>
          </w:p>
          <w:p w:rsidR="00CA157D" w:rsidRDefault="00935285">
            <w:pPr>
              <w:spacing w:after="0" w:line="259" w:lineRule="auto"/>
              <w:ind w:left="360" w:right="0" w:firstLine="0"/>
              <w:jc w:val="left"/>
            </w:pPr>
            <w:r>
              <w:t xml:space="preserve"> </w:t>
            </w:r>
          </w:p>
        </w:tc>
        <w:tc>
          <w:tcPr>
            <w:tcW w:w="3929"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3"/>
              </w:numPr>
              <w:spacing w:after="0" w:line="259" w:lineRule="auto"/>
              <w:ind w:left="318" w:right="0" w:hanging="283"/>
              <w:jc w:val="left"/>
            </w:pPr>
            <w:r>
              <w:t xml:space="preserve">10g - Lead Designer (Lot 1)  </w:t>
            </w:r>
          </w:p>
          <w:p w:rsidR="00CA157D" w:rsidRDefault="00935285">
            <w:pPr>
              <w:numPr>
                <w:ilvl w:val="0"/>
                <w:numId w:val="13"/>
              </w:numPr>
              <w:spacing w:after="0" w:line="259" w:lineRule="auto"/>
              <w:ind w:left="318" w:right="0" w:hanging="283"/>
              <w:jc w:val="left"/>
            </w:pPr>
            <w:r>
              <w:t xml:space="preserve">10h - Principal Designer (Lot 1) </w:t>
            </w:r>
          </w:p>
          <w:p w:rsidR="00CA157D" w:rsidRDefault="00935285">
            <w:pPr>
              <w:numPr>
                <w:ilvl w:val="0"/>
                <w:numId w:val="13"/>
              </w:numPr>
              <w:spacing w:after="0" w:line="259" w:lineRule="auto"/>
              <w:ind w:left="318" w:right="0" w:hanging="283"/>
              <w:jc w:val="left"/>
            </w:pPr>
            <w:r>
              <w:t xml:space="preserve">10i - Project Management (Lot 1) </w:t>
            </w:r>
          </w:p>
        </w:tc>
      </w:tr>
      <w:tr w:rsidR="00CA157D">
        <w:trPr>
          <w:trHeight w:val="379"/>
        </w:trPr>
        <w:tc>
          <w:tcPr>
            <w:tcW w:w="8037" w:type="dxa"/>
            <w:gridSpan w:val="2"/>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0" w:right="0" w:firstLine="0"/>
              <w:jc w:val="left"/>
            </w:pPr>
            <w:r>
              <w:t xml:space="preserve">Lot 2 – Project Management Services </w:t>
            </w:r>
          </w:p>
        </w:tc>
      </w:tr>
      <w:tr w:rsidR="00CA157D">
        <w:trPr>
          <w:trHeight w:val="816"/>
        </w:trPr>
        <w:tc>
          <w:tcPr>
            <w:tcW w:w="4108"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4"/>
              </w:numPr>
              <w:spacing w:after="0" w:line="259" w:lineRule="auto"/>
              <w:ind w:right="0" w:hanging="360"/>
              <w:jc w:val="left"/>
            </w:pPr>
            <w:r>
              <w:t xml:space="preserve">Project Lead </w:t>
            </w:r>
          </w:p>
          <w:p w:rsidR="00CA157D" w:rsidRDefault="00935285">
            <w:pPr>
              <w:numPr>
                <w:ilvl w:val="0"/>
                <w:numId w:val="14"/>
              </w:numPr>
              <w:spacing w:after="0" w:line="259" w:lineRule="auto"/>
              <w:ind w:right="0" w:hanging="360"/>
              <w:jc w:val="left"/>
            </w:pPr>
            <w:r>
              <w:t xml:space="preserve">Client Adviser </w:t>
            </w:r>
          </w:p>
          <w:p w:rsidR="00CA157D" w:rsidRDefault="00935285">
            <w:pPr>
              <w:numPr>
                <w:ilvl w:val="0"/>
                <w:numId w:val="14"/>
              </w:numPr>
              <w:spacing w:after="0" w:line="259" w:lineRule="auto"/>
              <w:ind w:right="0" w:hanging="360"/>
              <w:jc w:val="left"/>
            </w:pPr>
            <w:r>
              <w:t xml:space="preserve">Contract Administrator </w:t>
            </w:r>
          </w:p>
        </w:tc>
        <w:tc>
          <w:tcPr>
            <w:tcW w:w="3929" w:type="dxa"/>
            <w:tcBorders>
              <w:top w:val="single" w:sz="4" w:space="0" w:color="000000"/>
              <w:left w:val="single" w:sz="4" w:space="0" w:color="000000"/>
              <w:bottom w:val="single" w:sz="4" w:space="0" w:color="000000"/>
              <w:right w:val="single" w:sz="4" w:space="0" w:color="000000"/>
            </w:tcBorders>
          </w:tcPr>
          <w:p w:rsidR="00CA157D" w:rsidRDefault="00935285">
            <w:pPr>
              <w:tabs>
                <w:tab w:val="center" w:pos="1946"/>
              </w:tabs>
              <w:spacing w:after="0" w:line="259" w:lineRule="auto"/>
              <w:ind w:left="0" w:right="0" w:firstLine="0"/>
              <w:jc w:val="left"/>
            </w:pPr>
            <w:r>
              <w:rPr>
                <w:rFonts w:ascii="Segoe UI Symbol" w:eastAsia="Segoe UI Symbol" w:hAnsi="Segoe UI Symbol" w:cs="Segoe UI Symbol"/>
              </w:rPr>
              <w:t></w:t>
            </w:r>
            <w:r>
              <w:t xml:space="preserve"> </w:t>
            </w:r>
            <w:r>
              <w:tab/>
              <w:t xml:space="preserve">11 - Project Management (Lot 2) </w:t>
            </w:r>
          </w:p>
        </w:tc>
      </w:tr>
      <w:tr w:rsidR="00CA157D">
        <w:trPr>
          <w:trHeight w:val="382"/>
        </w:trPr>
        <w:tc>
          <w:tcPr>
            <w:tcW w:w="8037" w:type="dxa"/>
            <w:gridSpan w:val="2"/>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0" w:right="0" w:firstLine="0"/>
              <w:jc w:val="left"/>
            </w:pPr>
            <w:r>
              <w:t xml:space="preserve">Lot 3 – Architectural and Design Team Services </w:t>
            </w:r>
          </w:p>
        </w:tc>
      </w:tr>
      <w:tr w:rsidR="00CA157D">
        <w:trPr>
          <w:trHeight w:val="1724"/>
        </w:trPr>
        <w:tc>
          <w:tcPr>
            <w:tcW w:w="8037" w:type="dxa"/>
            <w:gridSpan w:val="2"/>
            <w:tcBorders>
              <w:top w:val="single" w:sz="4" w:space="0" w:color="000000"/>
              <w:left w:val="single" w:sz="4" w:space="0" w:color="000000"/>
              <w:bottom w:val="single" w:sz="4" w:space="0" w:color="000000"/>
              <w:right w:val="single" w:sz="4" w:space="0" w:color="000000"/>
            </w:tcBorders>
          </w:tcPr>
          <w:p w:rsidR="00CA157D" w:rsidRDefault="00935285">
            <w:pPr>
              <w:numPr>
                <w:ilvl w:val="0"/>
                <w:numId w:val="15"/>
              </w:numPr>
              <w:spacing w:after="0" w:line="259" w:lineRule="auto"/>
              <w:ind w:right="0" w:hanging="36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2605659</wp:posOffset>
                      </wp:positionH>
                      <wp:positionV relativeFrom="paragraph">
                        <wp:posOffset>-13480</wp:posOffset>
                      </wp:positionV>
                      <wp:extent cx="6096" cy="1086917"/>
                      <wp:effectExtent l="0" t="0" r="0" b="0"/>
                      <wp:wrapSquare wrapText="bothSides"/>
                      <wp:docPr id="41470" name="Group 41470"/>
                      <wp:cNvGraphicFramePr/>
                      <a:graphic xmlns:a="http://schemas.openxmlformats.org/drawingml/2006/main">
                        <a:graphicData uri="http://schemas.microsoft.com/office/word/2010/wordprocessingGroup">
                          <wpg:wgp>
                            <wpg:cNvGrpSpPr/>
                            <wpg:grpSpPr>
                              <a:xfrm>
                                <a:off x="0" y="0"/>
                                <a:ext cx="6096" cy="1086917"/>
                                <a:chOff x="0" y="0"/>
                                <a:chExt cx="6096" cy="1086917"/>
                              </a:xfrm>
                            </wpg:grpSpPr>
                            <wps:wsp>
                              <wps:cNvPr id="52646" name="Shape 52646"/>
                              <wps:cNvSpPr/>
                              <wps:spPr>
                                <a:xfrm>
                                  <a:off x="0" y="0"/>
                                  <a:ext cx="9144" cy="1086917"/>
                                </a:xfrm>
                                <a:custGeom>
                                  <a:avLst/>
                                  <a:gdLst/>
                                  <a:ahLst/>
                                  <a:cxnLst/>
                                  <a:rect l="0" t="0" r="0" b="0"/>
                                  <a:pathLst>
                                    <a:path w="9144" h="1086917">
                                      <a:moveTo>
                                        <a:pt x="0" y="0"/>
                                      </a:moveTo>
                                      <a:lnTo>
                                        <a:pt x="9144" y="0"/>
                                      </a:lnTo>
                                      <a:lnTo>
                                        <a:pt x="9144" y="1086917"/>
                                      </a:lnTo>
                                      <a:lnTo>
                                        <a:pt x="0" y="10869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2462EC" id="Group 41470" o:spid="_x0000_s1026" style="position:absolute;margin-left:205.15pt;margin-top:-1.05pt;width:.5pt;height:85.6pt;z-index:251658240" coordsize="60,1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">
                      <v:shape id="Shape 52646" o:spid="_x0000_s1027" style="position:absolute;width:91;height:10869;visibility:visible;mso-wrap-style:square;v-text-anchor:top" coordsize="9144,108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s6ccA&#10;AADeAAAADwAAAGRycy9kb3ducmV2LnhtbESPQWvCQBSE70L/w/IEL1I3FQ01dZWiCMWD0NiLt0f2&#10;dRPMvk2zaxL/fbdQ8DjMzDfMejvYWnTU+sqxgpdZAoK4cLpio+DrfHh+BeEDssbaMSm4k4ft5mm0&#10;xky7nj+py4MREcI+QwVlCE0mpS9KsuhnriGO3rdrLYYoWyN1i32E21rOkySVFiuOCyU2tCupuOY3&#10;q6DbJ/p4X+xOdDn2PwdjzvlquldqMh7e30AEGsIj/N/+0AqW83SRwt+de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nrOnHAAAA3gAAAA8AAAAAAAAAAAAAAAAAmAIAAGRy&#10;cy9kb3ducmV2LnhtbFBLBQYAAAAABAAEAPUAAACMAwAAAAA=&#10;" path="m,l9144,r,1086917l,1086917,,e" fillcolor="black" stroked="f" strokeweight="0">
                        <v:stroke miterlimit="83231f" joinstyle="miter"/>
                        <v:path arrowok="t" textboxrect="0,0,9144,1086917"/>
                      </v:shape>
                      <w10:wrap type="square"/>
                    </v:group>
                  </w:pict>
                </mc:Fallback>
              </mc:AlternateContent>
            </w:r>
            <w:r>
              <w:t xml:space="preserve">Architect </w:t>
            </w:r>
            <w:r>
              <w:rPr>
                <w:rFonts w:ascii="Segoe UI Symbol" w:eastAsia="Segoe UI Symbol" w:hAnsi="Segoe UI Symbol" w:cs="Segoe UI Symbol"/>
              </w:rPr>
              <w:t></w:t>
            </w:r>
            <w:r>
              <w:t xml:space="preserve"> </w:t>
            </w:r>
            <w:r>
              <w:tab/>
              <w:t xml:space="preserve">12a - Architect (Lot 3) </w:t>
            </w:r>
          </w:p>
          <w:p w:rsidR="00CA157D" w:rsidRDefault="00935285">
            <w:pPr>
              <w:numPr>
                <w:ilvl w:val="0"/>
                <w:numId w:val="15"/>
              </w:numPr>
              <w:spacing w:after="0" w:line="259" w:lineRule="auto"/>
              <w:ind w:right="0" w:hanging="360"/>
              <w:jc w:val="left"/>
            </w:pPr>
            <w:r>
              <w:t xml:space="preserve">Lead Designer </w:t>
            </w:r>
            <w:r>
              <w:rPr>
                <w:rFonts w:ascii="Segoe UI Symbol" w:eastAsia="Segoe UI Symbol" w:hAnsi="Segoe UI Symbol" w:cs="Segoe UI Symbol"/>
              </w:rPr>
              <w:t></w:t>
            </w:r>
            <w:r>
              <w:t xml:space="preserve"> </w:t>
            </w:r>
            <w:r>
              <w:tab/>
              <w:t xml:space="preserve">12b - BIM Co-ordinator (Lot 3) </w:t>
            </w:r>
          </w:p>
          <w:p w:rsidR="00CA157D" w:rsidRDefault="00935285">
            <w:pPr>
              <w:numPr>
                <w:ilvl w:val="0"/>
                <w:numId w:val="15"/>
              </w:numPr>
              <w:spacing w:after="0" w:line="259" w:lineRule="auto"/>
              <w:ind w:right="0" w:hanging="360"/>
              <w:jc w:val="left"/>
            </w:pPr>
            <w:r>
              <w:t xml:space="preserve">Principal Designer </w:t>
            </w:r>
            <w:r>
              <w:rPr>
                <w:rFonts w:ascii="Segoe UI Symbol" w:eastAsia="Segoe UI Symbol" w:hAnsi="Segoe UI Symbol" w:cs="Segoe UI Symbol"/>
              </w:rPr>
              <w:t></w:t>
            </w:r>
            <w:r>
              <w:t xml:space="preserve"> </w:t>
            </w:r>
            <w:r>
              <w:tab/>
              <w:t xml:space="preserve">12c - BIM Information Manager </w:t>
            </w:r>
          </w:p>
          <w:p w:rsidR="00CA157D" w:rsidRDefault="00935285">
            <w:pPr>
              <w:numPr>
                <w:ilvl w:val="0"/>
                <w:numId w:val="15"/>
              </w:numPr>
              <w:spacing w:after="0" w:line="259" w:lineRule="auto"/>
              <w:ind w:right="0" w:hanging="360"/>
              <w:jc w:val="left"/>
            </w:pPr>
            <w:r>
              <w:t xml:space="preserve">BIM Information Manager (Lot 3) </w:t>
            </w:r>
          </w:p>
          <w:p w:rsidR="00CA157D" w:rsidRDefault="00935285">
            <w:pPr>
              <w:numPr>
                <w:ilvl w:val="0"/>
                <w:numId w:val="15"/>
              </w:numPr>
              <w:spacing w:after="0" w:line="259" w:lineRule="auto"/>
              <w:ind w:right="0" w:hanging="360"/>
              <w:jc w:val="left"/>
            </w:pPr>
            <w:r>
              <w:t xml:space="preserve">BIM Co-Ordinator </w:t>
            </w:r>
            <w:r>
              <w:rPr>
                <w:rFonts w:ascii="Segoe UI Symbol" w:eastAsia="Segoe UI Symbol" w:hAnsi="Segoe UI Symbol" w:cs="Segoe UI Symbol"/>
              </w:rPr>
              <w:t></w:t>
            </w:r>
            <w:r>
              <w:t xml:space="preserve"> </w:t>
            </w:r>
            <w:r>
              <w:tab/>
              <w:t xml:space="preserve">12d - Lead Designer (Lot 3) </w:t>
            </w:r>
          </w:p>
          <w:p w:rsidR="00CA157D" w:rsidRDefault="00935285">
            <w:pPr>
              <w:numPr>
                <w:ilvl w:val="0"/>
                <w:numId w:val="15"/>
              </w:numPr>
              <w:spacing w:after="0" w:line="259" w:lineRule="auto"/>
              <w:ind w:right="0" w:hanging="360"/>
              <w:jc w:val="left"/>
            </w:pPr>
            <w:r>
              <w:t xml:space="preserve">12e - Principal Designer (Lot 3) </w:t>
            </w:r>
          </w:p>
        </w:tc>
      </w:tr>
      <w:tr w:rsidR="00CA157D">
        <w:trPr>
          <w:trHeight w:val="382"/>
        </w:trPr>
        <w:tc>
          <w:tcPr>
            <w:tcW w:w="8037" w:type="dxa"/>
            <w:gridSpan w:val="2"/>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0" w:right="0" w:firstLine="0"/>
              <w:jc w:val="left"/>
            </w:pPr>
            <w:r>
              <w:t xml:space="preserve">Lot 4 – Cost Management Services </w:t>
            </w:r>
          </w:p>
        </w:tc>
      </w:tr>
      <w:tr w:rsidR="00CA157D">
        <w:trPr>
          <w:trHeight w:val="401"/>
        </w:trPr>
        <w:tc>
          <w:tcPr>
            <w:tcW w:w="4108" w:type="dxa"/>
            <w:tcBorders>
              <w:top w:val="single" w:sz="4" w:space="0" w:color="000000"/>
              <w:left w:val="single" w:sz="4" w:space="0" w:color="000000"/>
              <w:bottom w:val="single" w:sz="4" w:space="0" w:color="000000"/>
              <w:right w:val="single" w:sz="4" w:space="0" w:color="000000"/>
            </w:tcBorders>
          </w:tcPr>
          <w:p w:rsidR="00CA157D" w:rsidRDefault="00935285">
            <w:pPr>
              <w:tabs>
                <w:tab w:val="right" w:pos="3955"/>
              </w:tabs>
              <w:spacing w:after="0" w:line="259" w:lineRule="auto"/>
              <w:ind w:left="0" w:right="0" w:firstLine="0"/>
              <w:jc w:val="left"/>
            </w:pPr>
            <w:r>
              <w:rPr>
                <w:rFonts w:ascii="Segoe UI Symbol" w:eastAsia="Segoe UI Symbol" w:hAnsi="Segoe UI Symbol" w:cs="Segoe UI Symbol"/>
              </w:rPr>
              <w:t></w:t>
            </w:r>
            <w:r>
              <w:t xml:space="preserve"> </w:t>
            </w:r>
            <w:r>
              <w:tab/>
              <w:t xml:space="preserve">Cost Consultant (Quantity Surveyor) </w:t>
            </w:r>
          </w:p>
        </w:tc>
        <w:tc>
          <w:tcPr>
            <w:tcW w:w="3929" w:type="dxa"/>
            <w:tcBorders>
              <w:top w:val="single" w:sz="4" w:space="0" w:color="000000"/>
              <w:left w:val="single" w:sz="4" w:space="0" w:color="000000"/>
              <w:bottom w:val="single" w:sz="4" w:space="0" w:color="000000"/>
              <w:right w:val="single" w:sz="4" w:space="0" w:color="000000"/>
            </w:tcBorders>
          </w:tcPr>
          <w:p w:rsidR="00CA157D" w:rsidRDefault="00935285">
            <w:pPr>
              <w:tabs>
                <w:tab w:val="center" w:pos="1714"/>
              </w:tabs>
              <w:spacing w:after="0" w:line="259" w:lineRule="auto"/>
              <w:ind w:left="0" w:right="0" w:firstLine="0"/>
              <w:jc w:val="left"/>
            </w:pPr>
            <w:r>
              <w:rPr>
                <w:rFonts w:ascii="Segoe UI Symbol" w:eastAsia="Segoe UI Symbol" w:hAnsi="Segoe UI Symbol" w:cs="Segoe UI Symbol"/>
              </w:rPr>
              <w:t></w:t>
            </w:r>
            <w:r>
              <w:t xml:space="preserve"> </w:t>
            </w:r>
            <w:r>
              <w:tab/>
              <w:t xml:space="preserve">13 - Cost Consultant (Lot 4) </w:t>
            </w:r>
          </w:p>
        </w:tc>
      </w:tr>
      <w:tr w:rsidR="00CA157D">
        <w:trPr>
          <w:trHeight w:val="379"/>
        </w:trPr>
        <w:tc>
          <w:tcPr>
            <w:tcW w:w="8037" w:type="dxa"/>
            <w:gridSpan w:val="2"/>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0" w:right="0" w:firstLine="0"/>
              <w:jc w:val="left"/>
            </w:pPr>
            <w:r>
              <w:t xml:space="preserve">Lot 5 – Civil and Structural Engineering Services </w:t>
            </w:r>
          </w:p>
        </w:tc>
      </w:tr>
      <w:tr w:rsidR="00CA157D">
        <w:trPr>
          <w:trHeight w:val="1442"/>
        </w:trPr>
        <w:tc>
          <w:tcPr>
            <w:tcW w:w="4108"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6"/>
              </w:numPr>
              <w:spacing w:after="0" w:line="259" w:lineRule="auto"/>
              <w:ind w:right="0" w:hanging="360"/>
              <w:jc w:val="left"/>
            </w:pPr>
            <w:r>
              <w:t xml:space="preserve">Civil and Structural Engineer </w:t>
            </w:r>
          </w:p>
          <w:p w:rsidR="00CA157D" w:rsidRDefault="00935285">
            <w:pPr>
              <w:numPr>
                <w:ilvl w:val="0"/>
                <w:numId w:val="16"/>
              </w:numPr>
              <w:spacing w:after="0" w:line="259" w:lineRule="auto"/>
              <w:ind w:right="0" w:hanging="360"/>
              <w:jc w:val="left"/>
            </w:pPr>
            <w:r>
              <w:t xml:space="preserve">BIM Information Manager </w:t>
            </w:r>
          </w:p>
          <w:p w:rsidR="00CA157D" w:rsidRDefault="00935285">
            <w:pPr>
              <w:numPr>
                <w:ilvl w:val="0"/>
                <w:numId w:val="16"/>
              </w:numPr>
              <w:spacing w:after="0" w:line="259" w:lineRule="auto"/>
              <w:ind w:right="0" w:hanging="360"/>
              <w:jc w:val="left"/>
            </w:pPr>
            <w:r>
              <w:t xml:space="preserve">BIM Co-Ordinator </w:t>
            </w:r>
          </w:p>
        </w:tc>
        <w:tc>
          <w:tcPr>
            <w:tcW w:w="3929"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7"/>
              </w:numPr>
              <w:spacing w:after="0" w:line="259" w:lineRule="auto"/>
              <w:ind w:right="0" w:hanging="360"/>
              <w:jc w:val="left"/>
            </w:pPr>
            <w:r>
              <w:t xml:space="preserve">14a - BIM Co-ordinator (Lot 5)  </w:t>
            </w:r>
          </w:p>
          <w:p w:rsidR="00CA157D" w:rsidRDefault="00935285">
            <w:pPr>
              <w:numPr>
                <w:ilvl w:val="0"/>
                <w:numId w:val="17"/>
              </w:numPr>
              <w:spacing w:after="0" w:line="259" w:lineRule="auto"/>
              <w:ind w:right="0" w:hanging="360"/>
              <w:jc w:val="left"/>
            </w:pPr>
            <w:r>
              <w:t xml:space="preserve">14b - BIM Information Manager </w:t>
            </w:r>
          </w:p>
          <w:p w:rsidR="00CA157D" w:rsidRDefault="00935285">
            <w:pPr>
              <w:spacing w:after="0" w:line="259" w:lineRule="auto"/>
              <w:ind w:left="362" w:right="0" w:firstLine="0"/>
              <w:jc w:val="left"/>
            </w:pPr>
            <w:r>
              <w:t xml:space="preserve">(Lot 5) </w:t>
            </w:r>
          </w:p>
          <w:p w:rsidR="00CA157D" w:rsidRDefault="00935285">
            <w:pPr>
              <w:numPr>
                <w:ilvl w:val="0"/>
                <w:numId w:val="17"/>
              </w:numPr>
              <w:spacing w:after="0" w:line="259" w:lineRule="auto"/>
              <w:ind w:right="0" w:hanging="360"/>
              <w:jc w:val="left"/>
            </w:pPr>
            <w:r>
              <w:t xml:space="preserve">14c - Civil and Structural Engineer (Lot 5) </w:t>
            </w:r>
          </w:p>
        </w:tc>
      </w:tr>
      <w:tr w:rsidR="00CA157D">
        <w:trPr>
          <w:trHeight w:val="382"/>
        </w:trPr>
        <w:tc>
          <w:tcPr>
            <w:tcW w:w="4108" w:type="dxa"/>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0" w:right="0" w:firstLine="0"/>
              <w:jc w:val="left"/>
            </w:pPr>
            <w:r>
              <w:t xml:space="preserve">Lot 6 – Building Services Engineering </w:t>
            </w:r>
          </w:p>
        </w:tc>
        <w:tc>
          <w:tcPr>
            <w:tcW w:w="3929" w:type="dxa"/>
            <w:tcBorders>
              <w:top w:val="single" w:sz="4" w:space="0" w:color="000000"/>
              <w:left w:val="single" w:sz="4" w:space="0" w:color="000000"/>
              <w:bottom w:val="single" w:sz="4" w:space="0" w:color="000000"/>
              <w:right w:val="single" w:sz="4" w:space="0" w:color="000000"/>
            </w:tcBorders>
            <w:shd w:val="clear" w:color="auto" w:fill="D5DCE4"/>
          </w:tcPr>
          <w:p w:rsidR="00CA157D" w:rsidRDefault="00935285">
            <w:pPr>
              <w:spacing w:after="0" w:line="259" w:lineRule="auto"/>
              <w:ind w:left="2" w:right="0" w:firstLine="0"/>
              <w:jc w:val="left"/>
            </w:pPr>
            <w:r>
              <w:t xml:space="preserve"> </w:t>
            </w:r>
          </w:p>
        </w:tc>
      </w:tr>
      <w:tr w:rsidR="00CA157D">
        <w:trPr>
          <w:trHeight w:val="1439"/>
        </w:trPr>
        <w:tc>
          <w:tcPr>
            <w:tcW w:w="4108"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8"/>
              </w:numPr>
              <w:spacing w:after="0" w:line="259" w:lineRule="auto"/>
              <w:ind w:right="0" w:hanging="360"/>
              <w:jc w:val="left"/>
            </w:pPr>
            <w:r>
              <w:t xml:space="preserve">Building Services Engineer </w:t>
            </w:r>
          </w:p>
          <w:p w:rsidR="00CA157D" w:rsidRDefault="00935285">
            <w:pPr>
              <w:numPr>
                <w:ilvl w:val="0"/>
                <w:numId w:val="18"/>
              </w:numPr>
              <w:spacing w:after="0" w:line="259" w:lineRule="auto"/>
              <w:ind w:right="0" w:hanging="360"/>
              <w:jc w:val="left"/>
            </w:pPr>
            <w:r>
              <w:t xml:space="preserve">BIM Information Manager </w:t>
            </w:r>
          </w:p>
          <w:p w:rsidR="00CA157D" w:rsidRDefault="00935285">
            <w:pPr>
              <w:numPr>
                <w:ilvl w:val="0"/>
                <w:numId w:val="18"/>
              </w:numPr>
              <w:spacing w:after="0" w:line="259" w:lineRule="auto"/>
              <w:ind w:right="0" w:hanging="360"/>
              <w:jc w:val="left"/>
            </w:pPr>
            <w:r>
              <w:t xml:space="preserve">BIM Co-Ordinator </w:t>
            </w:r>
          </w:p>
        </w:tc>
        <w:tc>
          <w:tcPr>
            <w:tcW w:w="3929" w:type="dxa"/>
            <w:tcBorders>
              <w:top w:val="single" w:sz="4" w:space="0" w:color="000000"/>
              <w:left w:val="single" w:sz="4" w:space="0" w:color="000000"/>
              <w:bottom w:val="single" w:sz="4" w:space="0" w:color="000000"/>
              <w:right w:val="single" w:sz="4" w:space="0" w:color="000000"/>
            </w:tcBorders>
          </w:tcPr>
          <w:p w:rsidR="00CA157D" w:rsidRDefault="00935285">
            <w:pPr>
              <w:numPr>
                <w:ilvl w:val="0"/>
                <w:numId w:val="19"/>
              </w:numPr>
              <w:spacing w:after="0" w:line="259" w:lineRule="auto"/>
              <w:ind w:right="0" w:hanging="360"/>
              <w:jc w:val="left"/>
            </w:pPr>
            <w:r>
              <w:t xml:space="preserve">15a - BIM Co-ordinator (Lot 6) </w:t>
            </w:r>
          </w:p>
          <w:p w:rsidR="00CA157D" w:rsidRDefault="00935285">
            <w:pPr>
              <w:numPr>
                <w:ilvl w:val="0"/>
                <w:numId w:val="19"/>
              </w:numPr>
              <w:spacing w:after="0" w:line="259" w:lineRule="auto"/>
              <w:ind w:right="0" w:hanging="360"/>
              <w:jc w:val="left"/>
            </w:pPr>
            <w:r>
              <w:t xml:space="preserve">15b - BIM Information Manager </w:t>
            </w:r>
          </w:p>
          <w:p w:rsidR="00CA157D" w:rsidRDefault="00935285">
            <w:pPr>
              <w:spacing w:after="0" w:line="259" w:lineRule="auto"/>
              <w:ind w:left="362" w:right="0" w:firstLine="0"/>
              <w:jc w:val="left"/>
            </w:pPr>
            <w:r>
              <w:t xml:space="preserve">(Lot 6) </w:t>
            </w:r>
          </w:p>
          <w:p w:rsidR="00CA157D" w:rsidRDefault="00935285">
            <w:pPr>
              <w:numPr>
                <w:ilvl w:val="0"/>
                <w:numId w:val="19"/>
              </w:numPr>
              <w:spacing w:after="0" w:line="259" w:lineRule="auto"/>
              <w:ind w:right="0" w:hanging="360"/>
              <w:jc w:val="left"/>
            </w:pPr>
            <w:r>
              <w:t xml:space="preserve">15c – Building Services Engineer (Lot 6) </w:t>
            </w:r>
          </w:p>
        </w:tc>
      </w:tr>
    </w:tbl>
    <w:p w:rsidR="00CA157D" w:rsidRDefault="00935285">
      <w:pPr>
        <w:pStyle w:val="Heading2"/>
        <w:tabs>
          <w:tab w:val="center" w:pos="2120"/>
        </w:tabs>
        <w:ind w:left="-15" w:firstLine="0"/>
        <w:jc w:val="left"/>
      </w:pPr>
      <w:r>
        <w:t xml:space="preserve">4. </w:t>
      </w:r>
      <w:r>
        <w:tab/>
        <w:t xml:space="preserve">The Price Model Workbook </w:t>
      </w:r>
    </w:p>
    <w:p w:rsidR="00CA157D" w:rsidRDefault="00935285">
      <w:pPr>
        <w:ind w:left="693" w:right="50" w:hanging="708"/>
      </w:pPr>
      <w:r>
        <w:t xml:space="preserve">4.1. A separate Price Model workbook is provided for each Core Service Discipline (in Microsoft Excel format). The Core Service Disciplines are listed within Annex A of this document. </w:t>
      </w:r>
    </w:p>
    <w:p w:rsidR="00CA157D" w:rsidRDefault="00935285">
      <w:pPr>
        <w:ind w:left="693" w:right="50" w:hanging="708"/>
      </w:pPr>
      <w:r>
        <w:lastRenderedPageBreak/>
        <w:t xml:space="preserve">4.2. The Potential Provider shall refer to the table at paragraph 3.3 above, to determine the relevant Price Model workbook(s) applicable to the Lot for which it is submitting a Tender.   </w:t>
      </w:r>
    </w:p>
    <w:p w:rsidR="00CA157D" w:rsidRDefault="00935285">
      <w:pPr>
        <w:spacing w:after="11"/>
        <w:ind w:left="693" w:right="50" w:hanging="708"/>
      </w:pPr>
      <w:r>
        <w:t xml:space="preserve">4.3. Each Price Model workbook contains seven (7) worksheets, which are described in the table below:- </w:t>
      </w:r>
    </w:p>
    <w:tbl>
      <w:tblPr>
        <w:tblStyle w:val="TableGrid"/>
        <w:tblW w:w="8253" w:type="dxa"/>
        <w:tblInd w:w="820" w:type="dxa"/>
        <w:tblCellMar>
          <w:top w:w="5" w:type="dxa"/>
          <w:left w:w="108" w:type="dxa"/>
          <w:right w:w="45" w:type="dxa"/>
        </w:tblCellMar>
        <w:tblLook w:val="04A0" w:firstRow="1" w:lastRow="0" w:firstColumn="1" w:lastColumn="0" w:noHBand="0" w:noVBand="1"/>
      </w:tblPr>
      <w:tblGrid>
        <w:gridCol w:w="637"/>
        <w:gridCol w:w="2417"/>
        <w:gridCol w:w="5199"/>
      </w:tblGrid>
      <w:tr w:rsidR="00CA157D">
        <w:trPr>
          <w:trHeight w:val="382"/>
        </w:trPr>
        <w:tc>
          <w:tcPr>
            <w:tcW w:w="637"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13" w:right="0" w:firstLine="0"/>
              <w:jc w:val="left"/>
            </w:pPr>
            <w:r>
              <w:rPr>
                <w:b/>
              </w:rPr>
              <w:t xml:space="preserve">Tab </w:t>
            </w:r>
          </w:p>
        </w:tc>
        <w:tc>
          <w:tcPr>
            <w:tcW w:w="2417"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t xml:space="preserve">Worksheet Title </w:t>
            </w:r>
          </w:p>
        </w:tc>
        <w:tc>
          <w:tcPr>
            <w:tcW w:w="5198"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t xml:space="preserve">Description </w:t>
            </w:r>
          </w:p>
        </w:tc>
      </w:tr>
      <w:tr w:rsidR="00CA157D">
        <w:trPr>
          <w:trHeight w:val="1009"/>
        </w:trPr>
        <w:tc>
          <w:tcPr>
            <w:tcW w:w="63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8" w:firstLine="0"/>
              <w:jc w:val="center"/>
            </w:pPr>
            <w:r>
              <w:t xml:space="preserve">1 </w:t>
            </w:r>
          </w:p>
        </w:tc>
        <w:tc>
          <w:tcPr>
            <w:tcW w:w="241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Title Page </w:t>
            </w:r>
          </w:p>
        </w:tc>
        <w:tc>
          <w:tcPr>
            <w:tcW w:w="5198" w:type="dxa"/>
            <w:tcBorders>
              <w:top w:val="single" w:sz="4" w:space="0" w:color="000000"/>
              <w:left w:val="single" w:sz="4" w:space="0" w:color="000000"/>
              <w:bottom w:val="single" w:sz="4" w:space="0" w:color="000000"/>
              <w:right w:val="single" w:sz="4" w:space="0" w:color="000000"/>
            </w:tcBorders>
          </w:tcPr>
          <w:p w:rsidR="00CA157D" w:rsidRDefault="00935285">
            <w:pPr>
              <w:spacing w:after="122" w:line="238" w:lineRule="auto"/>
              <w:ind w:left="0" w:right="0" w:firstLine="0"/>
              <w:jc w:val="left"/>
            </w:pPr>
            <w:r>
              <w:t xml:space="preserve">The title page indicating the Core Service Discipline(s) included in the workbook. </w:t>
            </w:r>
          </w:p>
          <w:p w:rsidR="00CA157D" w:rsidRDefault="00935285">
            <w:pPr>
              <w:spacing w:after="0" w:line="259" w:lineRule="auto"/>
              <w:ind w:left="0" w:right="0" w:firstLine="0"/>
              <w:jc w:val="left"/>
            </w:pPr>
            <w:r>
              <w:t xml:space="preserve"> </w:t>
            </w:r>
          </w:p>
        </w:tc>
      </w:tr>
      <w:tr w:rsidR="00CA157D">
        <w:trPr>
          <w:trHeight w:val="379"/>
        </w:trPr>
        <w:tc>
          <w:tcPr>
            <w:tcW w:w="637"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13" w:right="0" w:firstLine="0"/>
              <w:jc w:val="left"/>
            </w:pPr>
            <w:r>
              <w:rPr>
                <w:b/>
              </w:rPr>
              <w:t xml:space="preserve">Tab </w:t>
            </w:r>
          </w:p>
        </w:tc>
        <w:tc>
          <w:tcPr>
            <w:tcW w:w="2417"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t xml:space="preserve">Worksheet Title </w:t>
            </w:r>
          </w:p>
        </w:tc>
        <w:tc>
          <w:tcPr>
            <w:tcW w:w="5198"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t xml:space="preserve">Description </w:t>
            </w:r>
          </w:p>
        </w:tc>
      </w:tr>
      <w:tr w:rsidR="00CA157D">
        <w:trPr>
          <w:trHeight w:val="638"/>
        </w:trPr>
        <w:tc>
          <w:tcPr>
            <w:tcW w:w="637" w:type="dxa"/>
            <w:tcBorders>
              <w:top w:val="single" w:sz="4" w:space="0" w:color="000000"/>
              <w:left w:val="single" w:sz="4" w:space="0" w:color="000000"/>
              <w:bottom w:val="single" w:sz="4" w:space="0" w:color="000000"/>
              <w:right w:val="single" w:sz="4" w:space="0" w:color="000000"/>
            </w:tcBorders>
          </w:tcPr>
          <w:p w:rsidR="00CA157D" w:rsidRDefault="00CA157D">
            <w:pPr>
              <w:spacing w:after="160" w:line="259" w:lineRule="auto"/>
              <w:ind w:left="0" w:right="0" w:firstLine="0"/>
              <w:jc w:val="left"/>
            </w:pPr>
          </w:p>
        </w:tc>
        <w:tc>
          <w:tcPr>
            <w:tcW w:w="2417" w:type="dxa"/>
            <w:tcBorders>
              <w:top w:val="single" w:sz="4" w:space="0" w:color="000000"/>
              <w:left w:val="single" w:sz="4" w:space="0" w:color="000000"/>
              <w:bottom w:val="single" w:sz="4" w:space="0" w:color="000000"/>
              <w:right w:val="single" w:sz="4" w:space="0" w:color="000000"/>
            </w:tcBorders>
          </w:tcPr>
          <w:p w:rsidR="00CA157D" w:rsidRDefault="00CA157D">
            <w:pPr>
              <w:spacing w:after="160" w:line="259" w:lineRule="auto"/>
              <w:ind w:left="0" w:right="0" w:firstLine="0"/>
              <w:jc w:val="left"/>
            </w:pPr>
          </w:p>
        </w:tc>
        <w:tc>
          <w:tcPr>
            <w:tcW w:w="519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28" w:firstLine="0"/>
              <w:jc w:val="left"/>
            </w:pPr>
            <w:r>
              <w:t xml:space="preserve">Potential Providers shall insert their company name here. </w:t>
            </w:r>
          </w:p>
        </w:tc>
      </w:tr>
      <w:tr w:rsidR="00CA157D">
        <w:trPr>
          <w:trHeight w:val="2647"/>
        </w:trPr>
        <w:tc>
          <w:tcPr>
            <w:tcW w:w="63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6" w:firstLine="0"/>
              <w:jc w:val="center"/>
            </w:pPr>
            <w:r>
              <w:t xml:space="preserve">2 </w:t>
            </w:r>
          </w:p>
        </w:tc>
        <w:tc>
          <w:tcPr>
            <w:tcW w:w="241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Part 1: Percentage Project Fees </w:t>
            </w:r>
          </w:p>
        </w:tc>
        <w:tc>
          <w:tcPr>
            <w:tcW w:w="5198" w:type="dxa"/>
            <w:tcBorders>
              <w:top w:val="single" w:sz="4" w:space="0" w:color="000000"/>
              <w:left w:val="single" w:sz="4" w:space="0" w:color="000000"/>
              <w:bottom w:val="single" w:sz="4" w:space="0" w:color="000000"/>
              <w:right w:val="single" w:sz="4" w:space="0" w:color="000000"/>
            </w:tcBorders>
          </w:tcPr>
          <w:p w:rsidR="00CA157D" w:rsidRDefault="00935285">
            <w:pPr>
              <w:spacing w:after="119" w:line="239" w:lineRule="auto"/>
              <w:ind w:left="0" w:right="61" w:firstLine="0"/>
            </w:pPr>
            <w:r>
              <w:t xml:space="preserve">Potential Providers shall fully complete each table (i.e. Design &amp; Build Single Stage) for all Procurement Types, of which each is broken down by project value band and RIBA Plan of Work Stage. </w:t>
            </w:r>
          </w:p>
          <w:p w:rsidR="00CA157D" w:rsidRDefault="00935285">
            <w:pPr>
              <w:spacing w:after="119" w:line="239" w:lineRule="auto"/>
              <w:ind w:left="0" w:right="60" w:firstLine="0"/>
            </w:pPr>
            <w:r>
              <w:t xml:space="preserve">Potential Providers shall submit a Price for each value band and RIBA Plan of Work Stage for each Procurement Type. </w:t>
            </w:r>
          </w:p>
          <w:p w:rsidR="00CA157D" w:rsidRDefault="00935285">
            <w:pPr>
              <w:spacing w:after="0" w:line="259" w:lineRule="auto"/>
              <w:ind w:left="0" w:right="0" w:firstLine="0"/>
            </w:pPr>
            <w:r>
              <w:t xml:space="preserve">Potential Providers shall submit an adjustment(s) for ‘Project Complexity’.  </w:t>
            </w:r>
          </w:p>
        </w:tc>
      </w:tr>
      <w:tr w:rsidR="00CA157D">
        <w:trPr>
          <w:trHeight w:val="890"/>
        </w:trPr>
        <w:tc>
          <w:tcPr>
            <w:tcW w:w="63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6" w:firstLine="0"/>
              <w:jc w:val="center"/>
            </w:pPr>
            <w:r>
              <w:t xml:space="preserve">3 </w:t>
            </w:r>
          </w:p>
        </w:tc>
        <w:tc>
          <w:tcPr>
            <w:tcW w:w="241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Part 2: Time Charge Fees </w:t>
            </w:r>
          </w:p>
        </w:tc>
        <w:tc>
          <w:tcPr>
            <w:tcW w:w="519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5" w:firstLine="0"/>
              <w:jc w:val="left"/>
            </w:pPr>
            <w:r>
              <w:t xml:space="preserve">Potential Providers shall fully complete the Price Model worksheet for hourly and daily rates for each ‘Grade’ for each Core Service Discipline. </w:t>
            </w:r>
          </w:p>
        </w:tc>
      </w:tr>
      <w:tr w:rsidR="00CA157D">
        <w:trPr>
          <w:trHeight w:val="1396"/>
        </w:trPr>
        <w:tc>
          <w:tcPr>
            <w:tcW w:w="63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6" w:firstLine="0"/>
              <w:jc w:val="center"/>
            </w:pPr>
            <w:r>
              <w:t xml:space="preserve">4 </w:t>
            </w:r>
          </w:p>
        </w:tc>
        <w:tc>
          <w:tcPr>
            <w:tcW w:w="241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Part 3: Regional Variations </w:t>
            </w:r>
          </w:p>
        </w:tc>
        <w:tc>
          <w:tcPr>
            <w:tcW w:w="519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39" w:lineRule="auto"/>
              <w:ind w:left="0" w:right="59" w:firstLine="0"/>
            </w:pPr>
            <w:r>
              <w:t xml:space="preserve">Potential Providers shall fully complete the Price Model worksheet for regional variations for the six (6) regions of the UK detailed therein in respect of the Percentage Project Fees and Time Charge </w:t>
            </w:r>
          </w:p>
          <w:p w:rsidR="00CA157D" w:rsidRDefault="00935285">
            <w:pPr>
              <w:spacing w:after="0" w:line="259" w:lineRule="auto"/>
              <w:ind w:left="0" w:right="0" w:firstLine="0"/>
              <w:jc w:val="left"/>
            </w:pPr>
            <w:r>
              <w:t xml:space="preserve">Fees.    </w:t>
            </w:r>
          </w:p>
        </w:tc>
      </w:tr>
      <w:tr w:rsidR="00CA157D">
        <w:trPr>
          <w:trHeight w:val="1646"/>
        </w:trPr>
        <w:tc>
          <w:tcPr>
            <w:tcW w:w="637"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66" w:firstLine="0"/>
              <w:jc w:val="center"/>
            </w:pPr>
            <w:r>
              <w:t xml:space="preserve">5 </w:t>
            </w:r>
          </w:p>
        </w:tc>
        <w:tc>
          <w:tcPr>
            <w:tcW w:w="2417"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0" w:firstLine="0"/>
              <w:jc w:val="left"/>
            </w:pPr>
            <w:r>
              <w:t xml:space="preserve">Part 4: Time Charge Fees Summary </w:t>
            </w:r>
          </w:p>
        </w:tc>
        <w:tc>
          <w:tcPr>
            <w:tcW w:w="5198"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61" w:firstLine="0"/>
            </w:pPr>
            <w:r>
              <w:t xml:space="preserve">This worksheet brings forward the submitted Price from </w:t>
            </w:r>
            <w:r>
              <w:rPr>
                <w:b/>
              </w:rPr>
              <w:t>Part 2: Time Charge Fees</w:t>
            </w:r>
            <w:r>
              <w:t xml:space="preserve"> and will automatically populate a weighted table which calculates an average hourly and average daily rate for evaluation purposes.  </w:t>
            </w:r>
            <w:r>
              <w:rPr>
                <w:b/>
              </w:rPr>
              <w:t>Potential Providers do not complete this worksheet.</w:t>
            </w:r>
            <w:r>
              <w:t xml:space="preserve"> </w:t>
            </w:r>
          </w:p>
        </w:tc>
      </w:tr>
      <w:tr w:rsidR="00CA157D">
        <w:trPr>
          <w:trHeight w:val="1648"/>
        </w:trPr>
        <w:tc>
          <w:tcPr>
            <w:tcW w:w="637"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66" w:firstLine="0"/>
              <w:jc w:val="center"/>
            </w:pPr>
            <w:r>
              <w:t xml:space="preserve">6 </w:t>
            </w:r>
          </w:p>
        </w:tc>
        <w:tc>
          <w:tcPr>
            <w:tcW w:w="2417"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63" w:firstLine="0"/>
              <w:jc w:val="left"/>
            </w:pPr>
            <w:r>
              <w:t xml:space="preserve">Part 5: % Project Fees Summary </w:t>
            </w:r>
          </w:p>
        </w:tc>
        <w:tc>
          <w:tcPr>
            <w:tcW w:w="5198"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60" w:firstLine="0"/>
            </w:pPr>
            <w:r>
              <w:t xml:space="preserve">This worksheet brings forward the submitted Price from </w:t>
            </w:r>
            <w:r>
              <w:rPr>
                <w:b/>
              </w:rPr>
              <w:t>Part 1:  Percentage Project Fees</w:t>
            </w:r>
            <w:r>
              <w:t xml:space="preserve"> and will automatically populate a weighted table which calculates average percentage fees for each Procurement Type. </w:t>
            </w:r>
            <w:r>
              <w:rPr>
                <w:b/>
              </w:rPr>
              <w:t>Potential Providers do not complete this worksheet.</w:t>
            </w:r>
            <w:r>
              <w:t xml:space="preserve"> </w:t>
            </w:r>
          </w:p>
        </w:tc>
      </w:tr>
      <w:tr w:rsidR="00CA157D">
        <w:trPr>
          <w:trHeight w:val="1393"/>
        </w:trPr>
        <w:tc>
          <w:tcPr>
            <w:tcW w:w="637"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66" w:firstLine="0"/>
              <w:jc w:val="center"/>
            </w:pPr>
            <w:r>
              <w:t xml:space="preserve">7 </w:t>
            </w:r>
          </w:p>
        </w:tc>
        <w:tc>
          <w:tcPr>
            <w:tcW w:w="2417"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0" w:firstLine="0"/>
              <w:jc w:val="left"/>
            </w:pPr>
            <w:r>
              <w:t xml:space="preserve">Part 6: Tender </w:t>
            </w:r>
          </w:p>
          <w:p w:rsidR="00CA157D" w:rsidRDefault="00935285">
            <w:pPr>
              <w:spacing w:after="0" w:line="259" w:lineRule="auto"/>
              <w:ind w:left="0" w:right="0" w:firstLine="0"/>
              <w:jc w:val="left"/>
            </w:pPr>
            <w:r>
              <w:t xml:space="preserve">Summary </w:t>
            </w:r>
          </w:p>
        </w:tc>
        <w:tc>
          <w:tcPr>
            <w:tcW w:w="5198" w:type="dxa"/>
            <w:tcBorders>
              <w:top w:val="single" w:sz="4" w:space="0" w:color="000000"/>
              <w:left w:val="single" w:sz="4" w:space="0" w:color="000000"/>
              <w:bottom w:val="single" w:sz="4" w:space="0" w:color="000000"/>
              <w:right w:val="single" w:sz="4" w:space="0" w:color="000000"/>
            </w:tcBorders>
            <w:shd w:val="clear" w:color="auto" w:fill="D0CECE"/>
          </w:tcPr>
          <w:p w:rsidR="00CA157D" w:rsidRDefault="00935285">
            <w:pPr>
              <w:spacing w:after="0" w:line="259" w:lineRule="auto"/>
              <w:ind w:left="0" w:right="0" w:firstLine="0"/>
              <w:jc w:val="left"/>
            </w:pPr>
            <w:r>
              <w:t xml:space="preserve">This worksheet brings forward both the Percentage </w:t>
            </w:r>
          </w:p>
          <w:p w:rsidR="00CA157D" w:rsidRDefault="00935285">
            <w:pPr>
              <w:spacing w:after="4" w:line="237" w:lineRule="auto"/>
              <w:ind w:left="0" w:right="0" w:firstLine="0"/>
              <w:jc w:val="left"/>
            </w:pPr>
            <w:r>
              <w:t xml:space="preserve">Project Fees Summary worksheet and the Time Charge Fees Summary worksheet.  These figures will be extracted and evaluated.  </w:t>
            </w:r>
            <w:r>
              <w:rPr>
                <w:b/>
              </w:rPr>
              <w:t xml:space="preserve">Potential </w:t>
            </w:r>
          </w:p>
          <w:p w:rsidR="00CA157D" w:rsidRDefault="00935285">
            <w:pPr>
              <w:spacing w:after="0" w:line="259" w:lineRule="auto"/>
              <w:ind w:left="0" w:right="0" w:firstLine="0"/>
              <w:jc w:val="left"/>
            </w:pPr>
            <w:r>
              <w:rPr>
                <w:b/>
              </w:rPr>
              <w:t>Providers do not complete this worksheet.</w:t>
            </w:r>
            <w:r>
              <w:t xml:space="preserve"> </w:t>
            </w:r>
          </w:p>
        </w:tc>
      </w:tr>
    </w:tbl>
    <w:p w:rsidR="00CA157D" w:rsidRDefault="00935285">
      <w:pPr>
        <w:ind w:left="693" w:right="50" w:hanging="708"/>
      </w:pPr>
      <w:r>
        <w:lastRenderedPageBreak/>
        <w:t xml:space="preserve">4.4. Potential Providers must complete the applicable Price Model workbook(s) for the Core Service Disciplines, which are aligned to the Service requirements described in the Schedule of Services document (Attachment 9a). Core Service Disciplines which will be priced at Call Off stage, if required, are described in Annex A – Schedule of Services (Attachment 9a) and highlighted in </w:t>
      </w:r>
      <w:r>
        <w:rPr>
          <w:color w:val="FF0000"/>
        </w:rPr>
        <w:t>red text</w:t>
      </w:r>
      <w:r>
        <w:t xml:space="preserve"> for each Core Service Discipline. This applies to each Lot for which Potential Providers are submitting a Tender. </w:t>
      </w:r>
    </w:p>
    <w:p w:rsidR="00CA157D" w:rsidRDefault="00935285">
      <w:pPr>
        <w:ind w:left="693" w:right="50" w:hanging="708"/>
      </w:pPr>
      <w:r>
        <w:t xml:space="preserve">4.5. Potential Providers who are submitting a Tender for more than one Lot (where the same Core Service Discipline is in both Lots), </w:t>
      </w:r>
      <w:r>
        <w:rPr>
          <w:b/>
          <w:u w:val="single" w:color="000000"/>
        </w:rPr>
        <w:t>must</w:t>
      </w:r>
      <w:r>
        <w:t xml:space="preserve"> complete the relevant Price Model workbook for each Lot for which they are submitting a Tender.  A Price Model workbook is provided for each applicable Core Service Discipline in the six (6) Lots.   </w:t>
      </w:r>
    </w:p>
    <w:p w:rsidR="00CA157D" w:rsidRDefault="00935285">
      <w:pPr>
        <w:ind w:left="693" w:right="50" w:hanging="708"/>
      </w:pPr>
      <w:r>
        <w:t xml:space="preserve">4.6. If a fully completed Price Model workbook is not submitted by the Potential Provider for each Lot for which the Potential Provider has submitted a Tender, this may be deemed a non-compliant bid for the Lot in question. The Potential Provider may be excluded from further participation in this Procurement for that Lot. </w:t>
      </w:r>
    </w:p>
    <w:p w:rsidR="00CA157D" w:rsidRDefault="00935285">
      <w:pPr>
        <w:ind w:left="693" w:right="50" w:hanging="708"/>
      </w:pPr>
      <w:r>
        <w:t xml:space="preserve">4.7. Potential Providers must upload the fully completed Price Model workbook(s) applicable to each Lot for which they are submitting a Tender into the e-Sourcing Suite in accordance with paragraph 12.5.4 of the Invitation to Tender (Attachment 1). </w:t>
      </w:r>
    </w:p>
    <w:p w:rsidR="00CA157D" w:rsidRDefault="00935285">
      <w:pPr>
        <w:tabs>
          <w:tab w:val="center" w:pos="4659"/>
        </w:tabs>
        <w:ind w:left="-15" w:right="0" w:firstLine="0"/>
        <w:jc w:val="left"/>
      </w:pPr>
      <w:r>
        <w:t xml:space="preserve">4.8. </w:t>
      </w:r>
      <w:r>
        <w:tab/>
        <w:t xml:space="preserve">The Prices submitted in the Price Model workbook(s) shall include the following: -  </w:t>
      </w:r>
    </w:p>
    <w:p w:rsidR="00CA157D" w:rsidRDefault="00935285">
      <w:pPr>
        <w:ind w:left="730" w:right="50"/>
      </w:pPr>
      <w:r>
        <w:t xml:space="preserve">4.8.1. all travel expenses and subsistence;   </w:t>
      </w:r>
    </w:p>
    <w:p w:rsidR="00CA157D" w:rsidRDefault="00935285">
      <w:pPr>
        <w:ind w:left="1418" w:right="50" w:hanging="698"/>
      </w:pPr>
      <w:r>
        <w:t xml:space="preserve">4.8.2. the provision of technical staff and staff engaged in secretarial, accountancy, administrative or other supporting duties including basic salary, any additional payments or benefits and social costs such as insurances or pension payments; </w:t>
      </w:r>
    </w:p>
    <w:p w:rsidR="00CA157D" w:rsidRDefault="00935285">
      <w:pPr>
        <w:ind w:left="1418" w:right="50" w:hanging="698"/>
      </w:pPr>
      <w:r>
        <w:t xml:space="preserve">4.8.3. overheads and profit, office expenses (including rental and heating), nonrecoverable staff-time and administrative staff who are not chargeable;  </w:t>
      </w:r>
    </w:p>
    <w:p w:rsidR="00CA157D" w:rsidRDefault="00935285">
      <w:pPr>
        <w:ind w:left="1418" w:right="50" w:hanging="698"/>
      </w:pPr>
      <w:r>
        <w:t xml:space="preserve">4.8.4. postage, delivery of documents, telephone calls and similar incidental expenses; </w:t>
      </w:r>
    </w:p>
    <w:p w:rsidR="00CA157D" w:rsidRDefault="00935285">
      <w:pPr>
        <w:ind w:left="1418" w:right="50" w:hanging="698"/>
      </w:pPr>
      <w:r>
        <w:t xml:space="preserve">4.8.5. all necessary disbursements, including reasonable number of paper copies of all reports and drawings for statutory approvals, tender purposes, contract documentation, contract requirements, the Authority’s records and circulation to other disciplines within the Potential Provider team; and </w:t>
      </w:r>
    </w:p>
    <w:p w:rsidR="00CA157D" w:rsidRDefault="00935285">
      <w:pPr>
        <w:spacing w:after="229"/>
        <w:ind w:left="1418" w:right="50" w:hanging="698"/>
      </w:pPr>
      <w:r>
        <w:t xml:space="preserve">4.8.6. the Management Charge of the Authority as defined within Schedule 1: Definitions of the Framework Agreement. </w:t>
      </w:r>
    </w:p>
    <w:p w:rsidR="00CA157D" w:rsidRDefault="00935285">
      <w:pPr>
        <w:pStyle w:val="Heading2"/>
        <w:tabs>
          <w:tab w:val="center" w:pos="2023"/>
        </w:tabs>
        <w:ind w:left="-15" w:firstLine="0"/>
        <w:jc w:val="left"/>
      </w:pPr>
      <w:r>
        <w:t xml:space="preserve">5. </w:t>
      </w:r>
      <w:r>
        <w:tab/>
        <w:t xml:space="preserve">Abnormally Low Tenders </w:t>
      </w:r>
    </w:p>
    <w:p w:rsidR="00CA157D" w:rsidRDefault="00935285">
      <w:pPr>
        <w:ind w:left="693" w:right="50" w:hanging="708"/>
      </w:pPr>
      <w:r>
        <w:t xml:space="preserve">5.1. Potential Providers are advised that the Authority will scrutinise any Tender that contains a rate or price which appears abnormally low.  Potential Providers’ attention is drawn to the requirements of Regulation 69 of the Public Contract Regulations 2015 which permit the Authority to disregard or reject any Tender that is considered abnormally low.  Potential Providers shall also note paragraph </w:t>
      </w:r>
      <w:r>
        <w:rPr>
          <w:shd w:val="clear" w:color="auto" w:fill="FFFF00"/>
        </w:rPr>
        <w:t>12.6</w:t>
      </w:r>
      <w:r>
        <w:t xml:space="preserve"> of Invitation to Tender (Attachment 1). </w:t>
      </w:r>
    </w:p>
    <w:p w:rsidR="00CA157D" w:rsidRDefault="00935285">
      <w:pPr>
        <w:ind w:left="693" w:right="50" w:hanging="708"/>
      </w:pPr>
      <w:r>
        <w:t xml:space="preserve">5.2. Any Potential Provider who submits a Tender price which is 30% or more below the median of all other Potential Providers’ tendered Price, may be challenged by the Authority for that particular Procurement Type (Percentage Project Fees) or grades (Time Charge Fees) as it may be deemed to be abnormally low. </w:t>
      </w:r>
    </w:p>
    <w:p w:rsidR="00CA157D" w:rsidRDefault="00935285">
      <w:pPr>
        <w:ind w:left="693" w:right="50" w:hanging="708"/>
      </w:pPr>
      <w:r>
        <w:t xml:space="preserve">5.3. For </w:t>
      </w:r>
      <w:r>
        <w:rPr>
          <w:b/>
        </w:rPr>
        <w:t>Percentage Project Fees</w:t>
      </w:r>
      <w:r>
        <w:t xml:space="preserve">, the median threshold will be applied to the aggregated ‘Average Fee Percentage’ of each Procurement Type for each Core Service Discipline.   </w:t>
      </w:r>
    </w:p>
    <w:p w:rsidR="00CA157D" w:rsidRDefault="00935285">
      <w:pPr>
        <w:ind w:left="693" w:right="50" w:hanging="708"/>
      </w:pPr>
      <w:r>
        <w:t xml:space="preserve">5.4. For </w:t>
      </w:r>
      <w:r>
        <w:rPr>
          <w:b/>
        </w:rPr>
        <w:t>Time Charge Fees</w:t>
      </w:r>
      <w:r>
        <w:t xml:space="preserve">, the median threshold will be applied to the separate aggregated ‘Average Region Adjusted Values’ of Hourly and Daily rates.    </w:t>
      </w:r>
    </w:p>
    <w:p w:rsidR="00CA157D" w:rsidRDefault="00935285">
      <w:pPr>
        <w:spacing w:after="115" w:line="249" w:lineRule="auto"/>
        <w:ind w:left="693" w:right="49" w:hanging="708"/>
      </w:pPr>
      <w:r>
        <w:rPr>
          <w:b/>
        </w:rPr>
        <w:lastRenderedPageBreak/>
        <w:t>5.5. For the avoidance of doubt Potential Providers shall note that any bids 30% or more below the median threshold (Percentage Project Fee (by Procurement Type) and/or total Time Charge Fee (by Hourly and Daily rates)), may be challenged by the Authority under Regulation 69</w:t>
      </w:r>
      <w:r>
        <w:t xml:space="preserve"> </w:t>
      </w:r>
      <w:r>
        <w:rPr>
          <w:b/>
        </w:rPr>
        <w:t xml:space="preserve">of the Public Contract Regulations 2015. </w:t>
      </w:r>
    </w:p>
    <w:p w:rsidR="00CA157D" w:rsidRDefault="00935285">
      <w:pPr>
        <w:spacing w:after="0" w:line="259" w:lineRule="auto"/>
        <w:ind w:left="1140" w:right="7888" w:firstLine="0"/>
        <w:jc w:val="left"/>
      </w:pPr>
      <w:r>
        <w:t xml:space="preserve">  </w:t>
      </w:r>
    </w:p>
    <w:p w:rsidR="00CA157D" w:rsidRDefault="00935285">
      <w:pPr>
        <w:pStyle w:val="Heading2"/>
        <w:spacing w:after="274"/>
        <w:ind w:left="-5" w:right="49"/>
      </w:pPr>
      <w:r>
        <w:t>INSTRUCTIONS FOR COMPLETION - PRICE MODEL WORKBOOK (PART 1 PERCENTAGE PROJECT FEES)</w:t>
      </w:r>
      <w:r>
        <w:rPr>
          <w:b w:val="0"/>
        </w:rPr>
        <w:t xml:space="preserve"> </w:t>
      </w:r>
    </w:p>
    <w:p w:rsidR="00CA157D" w:rsidRDefault="00935285">
      <w:pPr>
        <w:pStyle w:val="Heading3"/>
        <w:tabs>
          <w:tab w:val="center" w:pos="1363"/>
        </w:tabs>
        <w:ind w:left="-15" w:firstLine="0"/>
        <w:jc w:val="left"/>
      </w:pPr>
      <w:r>
        <w:t xml:space="preserve">6  </w:t>
      </w:r>
      <w:r>
        <w:tab/>
        <w:t xml:space="preserve">Introduction </w:t>
      </w:r>
    </w:p>
    <w:p w:rsidR="00CA157D" w:rsidRDefault="00935285">
      <w:pPr>
        <w:ind w:left="693" w:right="50" w:hanging="708"/>
      </w:pPr>
      <w:r>
        <w:t xml:space="preserve">6.1 Potential Providers shall submit fee percentages in the required format in the tables at </w:t>
      </w:r>
      <w:r>
        <w:rPr>
          <w:b/>
        </w:rPr>
        <w:t>Part 1:  Percentage Project Fees</w:t>
      </w:r>
      <w:r>
        <w:t xml:space="preserve">.  Potential Providers shall note that only percentage values can be inserted into the tables. There is no opportunity to insert financial values.  </w:t>
      </w:r>
    </w:p>
    <w:p w:rsidR="00CA157D" w:rsidRDefault="00935285">
      <w:pPr>
        <w:spacing w:after="115" w:line="249" w:lineRule="auto"/>
        <w:ind w:left="693" w:right="49" w:hanging="708"/>
      </w:pPr>
      <w:r>
        <w:rPr>
          <w:b/>
        </w:rPr>
        <w:t xml:space="preserve">6.2 Potential Providers shall insert a percentage fee (up to 3 decimal points only) for each stage of the RIBA Plan of Work and for each Project Value band for each Procurement Type.   </w:t>
      </w:r>
    </w:p>
    <w:p w:rsidR="00CA157D" w:rsidRDefault="00935285">
      <w:pPr>
        <w:ind w:left="693" w:right="50" w:hanging="708"/>
      </w:pPr>
      <w:r>
        <w:t xml:space="preserve">6.3 Potential Providers shall only submit percentage fees in cells coloured </w:t>
      </w:r>
      <w:r>
        <w:rPr>
          <w:shd w:val="clear" w:color="auto" w:fill="FF0000"/>
        </w:rPr>
        <w:t>red</w:t>
      </w:r>
      <w:r>
        <w:t xml:space="preserve"> or </w:t>
      </w:r>
      <w:r>
        <w:rPr>
          <w:shd w:val="clear" w:color="auto" w:fill="FFFF00"/>
        </w:rPr>
        <w:t>yellow</w:t>
      </w:r>
      <w:r>
        <w:t xml:space="preserve">.  All other cells will be locked.  Potential Providers shall complete all </w:t>
      </w:r>
      <w:r>
        <w:rPr>
          <w:shd w:val="clear" w:color="auto" w:fill="FF0000"/>
        </w:rPr>
        <w:t>red</w:t>
      </w:r>
      <w:r>
        <w:t xml:space="preserve"> coloured cells, which will then turn </w:t>
      </w:r>
      <w:r>
        <w:rPr>
          <w:shd w:val="clear" w:color="auto" w:fill="FFFF00"/>
        </w:rPr>
        <w:t>yellow</w:t>
      </w:r>
      <w:r>
        <w:t xml:space="preserve">.  Any cells remaining highlighted </w:t>
      </w:r>
      <w:r>
        <w:rPr>
          <w:shd w:val="clear" w:color="auto" w:fill="FF0000"/>
        </w:rPr>
        <w:t>red</w:t>
      </w:r>
      <w:r>
        <w:t xml:space="preserve"> indicates an erroneous amount has been entered into a field which should be completed. </w:t>
      </w:r>
    </w:p>
    <w:p w:rsidR="00CA157D" w:rsidRDefault="00935285">
      <w:pPr>
        <w:ind w:left="693" w:right="50" w:hanging="708"/>
      </w:pPr>
      <w:r>
        <w:t xml:space="preserve">6.4 Potential Providers shall ensure that the Percentage Project Fees include the full scope of Services and tasks set out within </w:t>
      </w:r>
      <w:r>
        <w:rPr>
          <w:b/>
        </w:rPr>
        <w:t>Framework</w:t>
      </w:r>
      <w:r>
        <w:t xml:space="preserve"> </w:t>
      </w:r>
      <w:r>
        <w:rPr>
          <w:b/>
        </w:rPr>
        <w:t xml:space="preserve">Schedule 2 Annex A: Schedule of Services </w:t>
      </w:r>
      <w:r>
        <w:t xml:space="preserve">and shall include for all disciplines in Annex A of this document for the Lot(s)for which the Potential Provider is submitting a Tender. </w:t>
      </w:r>
    </w:p>
    <w:p w:rsidR="00CA157D" w:rsidRDefault="00935285">
      <w:pPr>
        <w:ind w:left="693" w:right="50" w:hanging="708"/>
      </w:pPr>
      <w:r>
        <w:t xml:space="preserve">6.5 The cells requiring completion by the Potential Provider in the Percentage Project Fees tables are coloured </w:t>
      </w:r>
      <w:r>
        <w:rPr>
          <w:b/>
          <w:shd w:val="clear" w:color="auto" w:fill="FF0000"/>
        </w:rPr>
        <w:t>red</w:t>
      </w:r>
      <w:r>
        <w:t xml:space="preserve">. The entry into each cell must be greater than 0.001%. Any Potential Provider who fails to comply with this requirement is deemed to have submitted a non-compliant Tender and may be excluded from further participation in this Procurement. </w:t>
      </w:r>
    </w:p>
    <w:p w:rsidR="00CA157D" w:rsidRDefault="00935285">
      <w:pPr>
        <w:ind w:left="693" w:right="50" w:hanging="708"/>
      </w:pPr>
      <w:r>
        <w:t xml:space="preserve">6.6 The percentage fee submitted for each stage shall reflect the Services to be completed in accordance with the scope of Services for that stage.  Potential Providers shall note that the percentage fee entered for each individual stage is specific to that stage.  The ‘Total Fee’ column auto-calculates the sum of all of the percentage fees inserted for each stage.  Potential Providers are not required to insert a percentage fee into the ‘Total Fee’ column. </w:t>
      </w:r>
    </w:p>
    <w:p w:rsidR="00CA157D" w:rsidRDefault="00935285">
      <w:pPr>
        <w:ind w:left="693" w:right="50" w:hanging="708"/>
      </w:pPr>
      <w:r>
        <w:t xml:space="preserve">6.7 A table is provided for each Procurement Type.  Each table is identical in respect of Project Value band and the RIBA Plan of Work Stage.  Potential Providers shall note that they are able to tailor their Price submission to each of the different Procurement Types . </w:t>
      </w:r>
    </w:p>
    <w:p w:rsidR="00CA157D" w:rsidRDefault="00935285">
      <w:pPr>
        <w:ind w:left="693" w:right="50" w:hanging="708"/>
      </w:pPr>
      <w:r>
        <w:t xml:space="preserve">6.8 For each Core Service Discipline Potential Providers shall submit a percentage fee in respect of each value band and RIBA Plan of Work Stage in each Procurement Type as follows:- </w:t>
      </w:r>
    </w:p>
    <w:p w:rsidR="00CA157D" w:rsidRDefault="00935285">
      <w:pPr>
        <w:ind w:right="50"/>
      </w:pPr>
      <w:r>
        <w:t xml:space="preserve">6.8.1 Design &amp; Build (Single Stage); </w:t>
      </w:r>
    </w:p>
    <w:p w:rsidR="00CA157D" w:rsidRDefault="00935285">
      <w:pPr>
        <w:ind w:right="50"/>
      </w:pPr>
      <w:r>
        <w:t xml:space="preserve">6.8.2 Design &amp; Build (Two Stage); </w:t>
      </w:r>
    </w:p>
    <w:p w:rsidR="00CA157D" w:rsidRDefault="00935285">
      <w:pPr>
        <w:ind w:right="50"/>
      </w:pPr>
      <w:r>
        <w:t xml:space="preserve">6.8.3 Traditional; </w:t>
      </w:r>
    </w:p>
    <w:p w:rsidR="00CA157D" w:rsidRDefault="00935285">
      <w:pPr>
        <w:ind w:right="50"/>
      </w:pPr>
      <w:r>
        <w:t xml:space="preserve">6.8.4 Two Stage Open Book; </w:t>
      </w:r>
    </w:p>
    <w:p w:rsidR="00CA157D" w:rsidRDefault="00935285">
      <w:pPr>
        <w:ind w:right="50"/>
      </w:pPr>
      <w:r>
        <w:t xml:space="preserve">6.8.5 Cost Led Procurement; </w:t>
      </w:r>
    </w:p>
    <w:p w:rsidR="00CA157D" w:rsidRDefault="00935285">
      <w:pPr>
        <w:ind w:right="50"/>
      </w:pPr>
      <w:r>
        <w:t xml:space="preserve">6.8.6 Integrated Project Insurance. </w:t>
      </w:r>
    </w:p>
    <w:p w:rsidR="00CA157D" w:rsidRDefault="00935285">
      <w:pPr>
        <w:spacing w:after="272"/>
        <w:ind w:left="693" w:right="50" w:hanging="708"/>
      </w:pPr>
      <w:r>
        <w:lastRenderedPageBreak/>
        <w:t xml:space="preserve">6.9 Potential Providers shall submit their percentage fees based on the Total Project Value for the Lot(s) for which the Potential Provider is submitting a Tender.   </w:t>
      </w:r>
    </w:p>
    <w:p w:rsidR="00CA157D" w:rsidRDefault="00935285">
      <w:pPr>
        <w:spacing w:after="0" w:line="259" w:lineRule="auto"/>
        <w:ind w:left="708" w:right="0" w:firstLine="0"/>
        <w:jc w:val="left"/>
      </w:pPr>
      <w:r>
        <w:t xml:space="preserve"> </w:t>
      </w:r>
    </w:p>
    <w:p w:rsidR="00CA157D" w:rsidRDefault="00935285">
      <w:pPr>
        <w:spacing w:after="279" w:line="259" w:lineRule="auto"/>
        <w:ind w:left="0" w:right="0" w:firstLine="0"/>
        <w:jc w:val="left"/>
      </w:pPr>
      <w:r>
        <w:t xml:space="preserve"> </w:t>
      </w:r>
    </w:p>
    <w:p w:rsidR="00CA157D" w:rsidRDefault="00935285">
      <w:pPr>
        <w:ind w:left="693" w:right="50" w:hanging="708"/>
      </w:pPr>
      <w:r>
        <w:t xml:space="preserve">6.10 Where relevant the Potential Provider’s Tendered Price shall include any Civil and Structural Engineer and Building Services Engineer fees, who will need to make an assessment regarding the extent of engineering Services making up the overall Total Project Value. This only applies to Lots 1, 5 and 6. </w:t>
      </w:r>
    </w:p>
    <w:p w:rsidR="00CA157D" w:rsidRDefault="00935285">
      <w:pPr>
        <w:ind w:left="693" w:right="50" w:hanging="708"/>
      </w:pPr>
      <w:r>
        <w:t xml:space="preserve">6.11  For the purposes of fee calculations the Total Project Value shall be the estimated construction cost, exclusive of VAT, consultant fees, insurances, loose equipment, IT and furniture. </w:t>
      </w:r>
    </w:p>
    <w:p w:rsidR="00CA157D" w:rsidRDefault="00935285">
      <w:pPr>
        <w:ind w:left="693" w:right="50" w:hanging="708"/>
      </w:pPr>
      <w:r>
        <w:t xml:space="preserve">6.12 Potential Providers shall submit their </w:t>
      </w:r>
      <w:r>
        <w:rPr>
          <w:b/>
        </w:rPr>
        <w:t>maximum</w:t>
      </w:r>
      <w:r>
        <w:t xml:space="preserve"> Percentage Project Fees in the worksheet, representing the maximum price for undertaking the required Services.  These Prices will form part of Framework Schedule 3: Framework Prices and Charging Structure and will be the maximum Framework Prices; however, Potential Providers may offer discounts under a Call Off Procedure post Framework Award.  </w:t>
      </w:r>
    </w:p>
    <w:p w:rsidR="00CA157D" w:rsidRDefault="00935285">
      <w:pPr>
        <w:ind w:left="693" w:right="50" w:hanging="708"/>
      </w:pPr>
      <w:r>
        <w:t xml:space="preserve">6.13 Potential Providers should complete the worksheets on the basis of being appointed on a single Core Service Discipline basis.  Potential Providers may offer discounts under a Call Off Procedure should a Contracting Authority require more than one Core Service Discipline. Services described in Framework Schedule 2 – Services and Key Performance Indicators – Annex A: Schedule of Services. </w:t>
      </w:r>
    </w:p>
    <w:p w:rsidR="00CA157D" w:rsidRDefault="00935285">
      <w:pPr>
        <w:pStyle w:val="Heading3"/>
        <w:tabs>
          <w:tab w:val="right" w:pos="9089"/>
        </w:tabs>
        <w:spacing w:after="147"/>
        <w:ind w:left="-15" w:firstLine="0"/>
        <w:jc w:val="left"/>
      </w:pPr>
      <w:r>
        <w:t xml:space="preserve">7 </w:t>
      </w:r>
      <w:r>
        <w:tab/>
        <w:t xml:space="preserve">Completion of Worksheets for BIM Information Manager and BIM Co-Ordinator </w:t>
      </w:r>
    </w:p>
    <w:p w:rsidR="00CA157D" w:rsidRDefault="00935285">
      <w:pPr>
        <w:ind w:left="693" w:right="50" w:hanging="708"/>
      </w:pPr>
      <w:r>
        <w:t xml:space="preserve">7.1 The Potential Providers’ particular attention is drawn to the roles of BIM Information Manager and BIM Co-Ordinator.  The full scope of Services for both the BIM Information Manager and BIM Co-Ordinator are set out at </w:t>
      </w:r>
      <w:r>
        <w:rPr>
          <w:b/>
        </w:rPr>
        <w:t>Framework</w:t>
      </w:r>
      <w:r>
        <w:t xml:space="preserve"> </w:t>
      </w:r>
      <w:r>
        <w:rPr>
          <w:b/>
        </w:rPr>
        <w:t xml:space="preserve">Schedule 2: Services and Key Performance Indicators </w:t>
      </w:r>
      <w:r>
        <w:t>and</w:t>
      </w:r>
      <w:r>
        <w:rPr>
          <w:b/>
        </w:rPr>
        <w:t xml:space="preserve"> Annex A – Schedule of Services.</w:t>
      </w:r>
      <w:r>
        <w:t xml:space="preserve"> </w:t>
      </w:r>
    </w:p>
    <w:p w:rsidR="00CA157D" w:rsidRDefault="00935285">
      <w:pPr>
        <w:ind w:left="693" w:right="50" w:hanging="708"/>
      </w:pPr>
      <w:r>
        <w:t xml:space="preserve">7.2 For both Core Service Disciplines, the scope of Services for the following Procurement Types will be limited to RIBA Plan of Work Stages 1-3 as the Contractor will fulfil these roles for RIBA Plan of Work Stage 4 to Stage 6 for the following Procurement Types: </w:t>
      </w:r>
    </w:p>
    <w:p w:rsidR="00CA157D" w:rsidRDefault="00935285">
      <w:pPr>
        <w:ind w:left="708" w:right="50"/>
      </w:pPr>
      <w:r>
        <w:t xml:space="preserve">7.2.1 Design &amp; Build (Single Stage); </w:t>
      </w:r>
    </w:p>
    <w:p w:rsidR="00CA157D" w:rsidRDefault="00935285">
      <w:pPr>
        <w:ind w:left="708" w:right="50"/>
      </w:pPr>
      <w:r>
        <w:t xml:space="preserve">7.2.2 Design &amp; Build (Two Stage); </w:t>
      </w:r>
    </w:p>
    <w:p w:rsidR="00CA157D" w:rsidRDefault="00935285">
      <w:pPr>
        <w:ind w:left="708" w:right="50"/>
      </w:pPr>
      <w:r>
        <w:t xml:space="preserve">7.2.3 Two Stage Open Book; </w:t>
      </w:r>
    </w:p>
    <w:p w:rsidR="00CA157D" w:rsidRDefault="00935285">
      <w:pPr>
        <w:ind w:left="708" w:right="50"/>
      </w:pPr>
      <w:r>
        <w:t xml:space="preserve">7.2.4 Cost Led Procurement; </w:t>
      </w:r>
    </w:p>
    <w:p w:rsidR="00CA157D" w:rsidRDefault="00935285">
      <w:pPr>
        <w:ind w:left="708" w:right="50"/>
      </w:pPr>
      <w:r>
        <w:t xml:space="preserve">7.2.5 Integrated Project Insurance. </w:t>
      </w:r>
    </w:p>
    <w:p w:rsidR="00CA157D" w:rsidRDefault="00935285">
      <w:pPr>
        <w:ind w:left="693" w:right="50" w:hanging="708"/>
      </w:pPr>
      <w:r>
        <w:t xml:space="preserve">7.3 However, the Potential Provider will be required to monitor Stage 4 to Stage 6 inclusive for the Procurement Types noted above, on behalf of the Contracting Authority.   </w:t>
      </w:r>
    </w:p>
    <w:p w:rsidR="00CA157D" w:rsidRDefault="00935285">
      <w:pPr>
        <w:ind w:left="693" w:right="50" w:hanging="708"/>
      </w:pPr>
      <w:r>
        <w:t xml:space="preserve">7.4 In respect of the Traditional Procurement Type, the Potential Provider shall provide the full scope of Services for the role of BIM Information Manager and BIM Co-Ordinator for all RIBA Plan of Work Stages. </w:t>
      </w:r>
    </w:p>
    <w:p w:rsidR="00CA157D" w:rsidRDefault="00935285">
      <w:pPr>
        <w:pStyle w:val="Heading3"/>
        <w:tabs>
          <w:tab w:val="center" w:pos="1705"/>
        </w:tabs>
        <w:ind w:left="-15" w:firstLine="0"/>
        <w:jc w:val="left"/>
      </w:pPr>
      <w:r>
        <w:t xml:space="preserve">8 </w:t>
      </w:r>
      <w:r>
        <w:tab/>
        <w:t xml:space="preserve">Project Complexity </w:t>
      </w:r>
    </w:p>
    <w:p w:rsidR="00CA157D" w:rsidRDefault="00935285">
      <w:pPr>
        <w:spacing w:after="116" w:line="244" w:lineRule="auto"/>
        <w:ind w:left="703" w:right="45" w:hanging="718"/>
        <w:jc w:val="left"/>
      </w:pPr>
      <w:r>
        <w:t xml:space="preserve">8.1 </w:t>
      </w:r>
      <w:r>
        <w:tab/>
        <w:t xml:space="preserve">Each project to which the Call Off Agreement relates will vary in complexity based on the type and nature of the project.  The complexity of projects is categorised as LOW, MEDIUM and HIGH as per the table below. </w:t>
      </w:r>
      <w:r>
        <w:rPr>
          <w:b/>
        </w:rPr>
        <w:t>Potential Providers will agree the level of complexity with the individual Contracting Authority at Call Off Stage.</w:t>
      </w:r>
      <w:r>
        <w:t xml:space="preserve"> </w:t>
      </w:r>
    </w:p>
    <w:tbl>
      <w:tblPr>
        <w:tblStyle w:val="TableGrid"/>
        <w:tblW w:w="8003" w:type="dxa"/>
        <w:tblInd w:w="995" w:type="dxa"/>
        <w:tblCellMar>
          <w:top w:w="5" w:type="dxa"/>
          <w:left w:w="107" w:type="dxa"/>
          <w:right w:w="115" w:type="dxa"/>
        </w:tblCellMar>
        <w:tblLook w:val="04A0" w:firstRow="1" w:lastRow="0" w:firstColumn="1" w:lastColumn="0" w:noHBand="0" w:noVBand="1"/>
      </w:tblPr>
      <w:tblGrid>
        <w:gridCol w:w="2447"/>
        <w:gridCol w:w="5556"/>
      </w:tblGrid>
      <w:tr w:rsidR="00CA157D">
        <w:trPr>
          <w:trHeight w:val="379"/>
        </w:trPr>
        <w:tc>
          <w:tcPr>
            <w:tcW w:w="2447"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0" w:right="0" w:firstLine="0"/>
              <w:jc w:val="left"/>
            </w:pPr>
            <w:r>
              <w:rPr>
                <w:b/>
              </w:rPr>
              <w:lastRenderedPageBreak/>
              <w:t xml:space="preserve">Complexity </w:t>
            </w:r>
          </w:p>
        </w:tc>
        <w:tc>
          <w:tcPr>
            <w:tcW w:w="5556" w:type="dxa"/>
            <w:tcBorders>
              <w:top w:val="single" w:sz="4" w:space="0" w:color="000000"/>
              <w:left w:val="single" w:sz="4" w:space="0" w:color="000000"/>
              <w:bottom w:val="single" w:sz="4" w:space="0" w:color="000000"/>
              <w:right w:val="single" w:sz="4" w:space="0" w:color="000000"/>
            </w:tcBorders>
            <w:shd w:val="clear" w:color="auto" w:fill="ACB9CA"/>
          </w:tcPr>
          <w:p w:rsidR="00CA157D" w:rsidRDefault="00935285">
            <w:pPr>
              <w:spacing w:after="0" w:line="259" w:lineRule="auto"/>
              <w:ind w:left="1" w:right="0" w:firstLine="0"/>
              <w:jc w:val="left"/>
            </w:pPr>
            <w:r>
              <w:rPr>
                <w:b/>
              </w:rPr>
              <w:t xml:space="preserve">Definition </w:t>
            </w:r>
          </w:p>
        </w:tc>
      </w:tr>
      <w:tr w:rsidR="00CA157D">
        <w:trPr>
          <w:trHeight w:val="1917"/>
        </w:trPr>
        <w:tc>
          <w:tcPr>
            <w:tcW w:w="244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LOW Complexity </w:t>
            </w:r>
          </w:p>
        </w:tc>
        <w:tc>
          <w:tcPr>
            <w:tcW w:w="555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1" w:right="0" w:firstLine="0"/>
              <w:jc w:val="left"/>
            </w:pPr>
            <w:r>
              <w:t xml:space="preserve">Single phase project or programme of work; </w:t>
            </w:r>
          </w:p>
          <w:p w:rsidR="00CA157D" w:rsidRDefault="00935285">
            <w:pPr>
              <w:spacing w:after="0" w:line="259" w:lineRule="auto"/>
              <w:ind w:left="1" w:right="0" w:firstLine="0"/>
              <w:jc w:val="left"/>
            </w:pPr>
            <w:r>
              <w:t xml:space="preserve">Limited or no demolition (&lt;5% of project costs); </w:t>
            </w:r>
          </w:p>
          <w:p w:rsidR="00CA157D" w:rsidRDefault="00935285">
            <w:pPr>
              <w:spacing w:after="0" w:line="259" w:lineRule="auto"/>
              <w:ind w:left="1" w:right="0" w:firstLine="0"/>
              <w:jc w:val="left"/>
            </w:pPr>
            <w:r>
              <w:t xml:space="preserve">Limited infrastructure works (&lt;5% of project costs); </w:t>
            </w:r>
          </w:p>
          <w:p w:rsidR="00CA157D" w:rsidRDefault="00935285">
            <w:pPr>
              <w:spacing w:after="0" w:line="259" w:lineRule="auto"/>
              <w:ind w:left="1" w:right="0" w:firstLine="0"/>
              <w:jc w:val="left"/>
            </w:pPr>
            <w:r>
              <w:t xml:space="preserve">Unoccupied building; </w:t>
            </w:r>
          </w:p>
          <w:p w:rsidR="00CA157D" w:rsidRDefault="00935285">
            <w:pPr>
              <w:spacing w:after="0" w:line="259" w:lineRule="auto"/>
              <w:ind w:left="1" w:right="0" w:firstLine="0"/>
              <w:jc w:val="left"/>
            </w:pPr>
            <w:r>
              <w:t xml:space="preserve">Services element &lt;25% of project costs; Predominantly single building use. </w:t>
            </w:r>
          </w:p>
        </w:tc>
      </w:tr>
      <w:tr w:rsidR="00CA157D">
        <w:trPr>
          <w:trHeight w:val="2155"/>
        </w:trPr>
        <w:tc>
          <w:tcPr>
            <w:tcW w:w="244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MEDIUM Complexity </w:t>
            </w:r>
          </w:p>
        </w:tc>
        <w:tc>
          <w:tcPr>
            <w:tcW w:w="555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40" w:lineRule="auto"/>
              <w:ind w:left="1" w:right="0" w:firstLine="0"/>
              <w:jc w:val="left"/>
            </w:pPr>
            <w:r>
              <w:t xml:space="preserve">More than a single phase project of programme of work (2 to 5 phases); </w:t>
            </w:r>
          </w:p>
          <w:p w:rsidR="00CA157D" w:rsidRDefault="00935285">
            <w:pPr>
              <w:spacing w:after="1" w:line="239" w:lineRule="auto"/>
              <w:ind w:left="1" w:right="134" w:firstLine="0"/>
              <w:jc w:val="left"/>
            </w:pPr>
            <w:r>
              <w:t xml:space="preserve">Partial demolition (5% to 15% of project costs); Some infrastructure works (5% to 15% of project costs); </w:t>
            </w:r>
          </w:p>
          <w:p w:rsidR="00CA157D" w:rsidRDefault="00935285">
            <w:pPr>
              <w:spacing w:after="0" w:line="259" w:lineRule="auto"/>
              <w:ind w:left="1" w:right="853" w:firstLine="0"/>
              <w:jc w:val="left"/>
            </w:pPr>
            <w:r>
              <w:t xml:space="preserve">Occupied or partially occupied building; Services element &lt;50% of project costs; More than one type of building use. </w:t>
            </w:r>
          </w:p>
        </w:tc>
      </w:tr>
      <w:tr w:rsidR="00CA157D">
        <w:trPr>
          <w:trHeight w:val="1901"/>
        </w:trPr>
        <w:tc>
          <w:tcPr>
            <w:tcW w:w="244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HIGH Complexity </w:t>
            </w:r>
          </w:p>
        </w:tc>
        <w:tc>
          <w:tcPr>
            <w:tcW w:w="5556" w:type="dxa"/>
            <w:tcBorders>
              <w:top w:val="single" w:sz="4" w:space="0" w:color="000000"/>
              <w:left w:val="single" w:sz="4" w:space="0" w:color="000000"/>
              <w:bottom w:val="single" w:sz="4" w:space="0" w:color="000000"/>
              <w:right w:val="single" w:sz="4" w:space="0" w:color="000000"/>
            </w:tcBorders>
          </w:tcPr>
          <w:p w:rsidR="00CA157D" w:rsidRDefault="00935285">
            <w:pPr>
              <w:spacing w:after="2" w:line="239" w:lineRule="auto"/>
              <w:ind w:left="1" w:right="0" w:firstLine="0"/>
              <w:jc w:val="left"/>
            </w:pPr>
            <w:r>
              <w:t xml:space="preserve">Multiple phase project or programme of work (&gt; 5 phases); </w:t>
            </w:r>
          </w:p>
          <w:p w:rsidR="00CA157D" w:rsidRDefault="00935285">
            <w:pPr>
              <w:spacing w:after="0" w:line="259" w:lineRule="auto"/>
              <w:ind w:left="1" w:right="0" w:firstLine="0"/>
              <w:jc w:val="left"/>
            </w:pPr>
            <w:r>
              <w:t xml:space="preserve">Demolition (&gt; 15% of project costs); </w:t>
            </w:r>
          </w:p>
          <w:p w:rsidR="00CA157D" w:rsidRDefault="00935285">
            <w:pPr>
              <w:spacing w:after="0" w:line="259" w:lineRule="auto"/>
              <w:ind w:left="1" w:right="0" w:firstLine="0"/>
              <w:jc w:val="left"/>
            </w:pPr>
            <w:r>
              <w:t xml:space="preserve">Major infrastructure works (&gt; 15% of project costs); </w:t>
            </w:r>
          </w:p>
          <w:p w:rsidR="00CA157D" w:rsidRDefault="00935285">
            <w:pPr>
              <w:spacing w:after="0" w:line="259" w:lineRule="auto"/>
              <w:ind w:left="1" w:right="596" w:firstLine="0"/>
              <w:jc w:val="left"/>
            </w:pPr>
            <w:r>
              <w:t xml:space="preserve">Occupied property, involving re-stack/decanting; Services element &gt;50% of project costs; Multiple building uses. </w:t>
            </w:r>
          </w:p>
        </w:tc>
      </w:tr>
    </w:tbl>
    <w:p w:rsidR="00CA157D" w:rsidRDefault="00935285">
      <w:pPr>
        <w:spacing w:after="116" w:line="244" w:lineRule="auto"/>
        <w:ind w:left="703" w:right="45" w:hanging="718"/>
        <w:jc w:val="left"/>
      </w:pPr>
      <w:r>
        <w:t xml:space="preserve">8.2 </w:t>
      </w:r>
      <w:r>
        <w:tab/>
        <w:t xml:space="preserve">The percentage fees inserted by the Potential Provider into the red cells in </w:t>
      </w:r>
      <w:r>
        <w:rPr>
          <w:b/>
        </w:rPr>
        <w:t>Part 1:  Percentage Project Fees</w:t>
      </w:r>
      <w:r>
        <w:t xml:space="preserve"> shall be based on a project of MEDIUM complexity.  These rates will be deemed as a ‘base rate’ and will automatically populate the column marked MEDIUM complexity (with no adjustment to the percentage fees inserted in the red cells in Part 1:  Percentage Project Fees). </w:t>
      </w:r>
    </w:p>
    <w:p w:rsidR="00CA157D" w:rsidRDefault="00935285">
      <w:pPr>
        <w:spacing w:after="116" w:line="244" w:lineRule="auto"/>
        <w:ind w:left="703" w:right="45" w:hanging="718"/>
        <w:jc w:val="left"/>
      </w:pPr>
      <w:r>
        <w:t xml:space="preserve">8.3 </w:t>
      </w:r>
      <w:r>
        <w:tab/>
        <w:t xml:space="preserve">For LOW complexity projects, the Potential Provider shall insert a percentage adjustment to the ‘base rate’.  A negative adjustment to the MEDIUM complexity rate requires a minus (-) to be inserted in front of the percentage adjustment.  These rates will then automatically populate the column marked LOW complexity. Potential Providers may only enter an adjustment in the LOW complexity cell that is less than or equal to zero (0).  Any Potential Provider who fails to comply with this requirement is deemed to have provided a non compliant Tender and may be excluded from further participation in this Procurement. </w:t>
      </w:r>
    </w:p>
    <w:p w:rsidR="00CA157D" w:rsidRDefault="00935285">
      <w:pPr>
        <w:spacing w:after="116" w:line="244" w:lineRule="auto"/>
        <w:ind w:left="703" w:right="45" w:hanging="718"/>
        <w:jc w:val="left"/>
      </w:pPr>
      <w:r>
        <w:t xml:space="preserve">8.4 </w:t>
      </w:r>
      <w:r>
        <w:tab/>
        <w:t xml:space="preserve">For HIGH complexity projects, the Potential Provider shall insert a percentage adjustment to the ‘base rate’.  A positive adjustment to the MEDIUM complexity rate requires a plus (+) to be inserted in front of the percentage adjustment. These rates will then automatically populate the column marked HIGH complexity.  Potential Providers may only enter a percentage adjustment in the HIGH Complexity cell that is greater than or equal to zero (0).  Any negative entry will highlight in </w:t>
      </w:r>
      <w:r>
        <w:rPr>
          <w:shd w:val="clear" w:color="auto" w:fill="FF0000"/>
        </w:rPr>
        <w:t>red</w:t>
      </w:r>
      <w:r>
        <w:t xml:space="preserve">.  Any Potential Provider who fails to comply with this requirement is deemed to have provided a non compliant Tender and may be excluded from further participation in this Procurement. </w:t>
      </w:r>
    </w:p>
    <w:p w:rsidR="00CA157D" w:rsidRDefault="00935285">
      <w:pPr>
        <w:ind w:left="693" w:right="50" w:hanging="708"/>
      </w:pPr>
      <w:r>
        <w:t xml:space="preserve">8.5 For the avoidance of doubt, the Potential Provider may decide to offer no adjustment for either LOW or HIGH complexity projects, in which case, the Potential Provider shall insert zero (0). </w:t>
      </w:r>
    </w:p>
    <w:p w:rsidR="00CA157D" w:rsidRDefault="00935285">
      <w:pPr>
        <w:ind w:left="693" w:right="50" w:hanging="708"/>
      </w:pPr>
      <w:r>
        <w:t xml:space="preserve">8.6 </w:t>
      </w:r>
      <w:r>
        <w:tab/>
        <w:t xml:space="preserve">Potential Providers should note that the adjustment for project complexity applies to all value bands, for each Procurement Type. </w:t>
      </w:r>
    </w:p>
    <w:p w:rsidR="00CA157D" w:rsidRDefault="00935285">
      <w:pPr>
        <w:ind w:left="693" w:right="50" w:hanging="708"/>
      </w:pPr>
      <w:r>
        <w:lastRenderedPageBreak/>
        <w:t xml:space="preserve">8.7 </w:t>
      </w:r>
      <w:r>
        <w:tab/>
        <w:t xml:space="preserve">The inclusion of an adjustment to the ‘base rate’ is a commercial decision made by the Potential Provider when completing the Price Model workbook. </w:t>
      </w:r>
    </w:p>
    <w:p w:rsidR="00CA157D" w:rsidRDefault="00935285">
      <w:pPr>
        <w:spacing w:after="275" w:line="244" w:lineRule="auto"/>
        <w:ind w:left="703" w:right="45" w:hanging="718"/>
        <w:jc w:val="left"/>
      </w:pPr>
      <w:r>
        <w:t xml:space="preserve">8.8 </w:t>
      </w:r>
      <w:r>
        <w:tab/>
        <w:t xml:space="preserve">The ‘greyed out’ table within Part 1. Percentage Project Fees worksheet is for illustration purposes only, and enables the Potential Provider to see the impact of the rates inserted into the main tables when adjusted for project complexity and regional variation. </w:t>
      </w:r>
    </w:p>
    <w:p w:rsidR="00CA157D" w:rsidRDefault="00935285">
      <w:pPr>
        <w:spacing w:after="95" w:line="259" w:lineRule="auto"/>
        <w:ind w:left="427" w:right="0" w:firstLine="0"/>
        <w:jc w:val="left"/>
      </w:pPr>
      <w:r>
        <w:t xml:space="preserve"> </w:t>
      </w:r>
    </w:p>
    <w:p w:rsidR="00CA157D" w:rsidRDefault="00935285">
      <w:pPr>
        <w:spacing w:after="0" w:line="259" w:lineRule="auto"/>
        <w:ind w:left="0" w:right="0" w:firstLine="0"/>
        <w:jc w:val="left"/>
      </w:pPr>
      <w:r>
        <w:rPr>
          <w:b/>
        </w:rPr>
        <w:t xml:space="preserve"> </w:t>
      </w:r>
      <w:r>
        <w:rPr>
          <w:b/>
        </w:rPr>
        <w:tab/>
        <w:t xml:space="preserve"> </w:t>
      </w:r>
      <w:r>
        <w:br w:type="page"/>
      </w:r>
    </w:p>
    <w:p w:rsidR="00CA157D" w:rsidRDefault="00935285">
      <w:pPr>
        <w:spacing w:after="259" w:line="259" w:lineRule="auto"/>
        <w:ind w:left="0" w:right="0" w:firstLine="0"/>
        <w:jc w:val="left"/>
      </w:pPr>
      <w:r>
        <w:rPr>
          <w:b/>
        </w:rPr>
        <w:lastRenderedPageBreak/>
        <w:t xml:space="preserve"> </w:t>
      </w:r>
    </w:p>
    <w:p w:rsidR="00CA157D" w:rsidRDefault="00935285">
      <w:pPr>
        <w:pStyle w:val="Heading2"/>
        <w:ind w:left="-5" w:right="49"/>
      </w:pPr>
      <w:r>
        <w:t xml:space="preserve">INSTRUCTIONS FOR COMPLETION - PRICE MODEL WORKBOOK (PART 2 TIME CHARGE FEES) </w:t>
      </w:r>
    </w:p>
    <w:p w:rsidR="00CA157D" w:rsidRDefault="00935285">
      <w:pPr>
        <w:pStyle w:val="Heading3"/>
        <w:spacing w:after="271"/>
        <w:ind w:left="-5" w:right="49"/>
      </w:pPr>
      <w:r>
        <w:t xml:space="preserve">9. Introduction </w:t>
      </w:r>
      <w:r>
        <w:rPr>
          <w:b w:val="0"/>
        </w:rPr>
        <w:t xml:space="preserve"> </w:t>
      </w:r>
    </w:p>
    <w:p w:rsidR="00CA157D" w:rsidRDefault="00935285">
      <w:pPr>
        <w:spacing w:after="116" w:line="244" w:lineRule="auto"/>
        <w:ind w:left="703" w:right="45" w:hanging="718"/>
        <w:jc w:val="left"/>
      </w:pPr>
      <w:r>
        <w:t xml:space="preserve">9.1 </w:t>
      </w:r>
      <w:r>
        <w:tab/>
        <w:t xml:space="preserve">Potential Providers shall submit Time Charge Fees by completing the Price Model worksheet(s) for both hourly and daily fee rates for each grade and for each Discipline for the Lot(s) for which the Potential Provider is submitting a Tender. </w:t>
      </w:r>
    </w:p>
    <w:p w:rsidR="00CA157D" w:rsidRDefault="00935285">
      <w:pPr>
        <w:spacing w:after="116" w:line="244" w:lineRule="auto"/>
        <w:ind w:left="703" w:right="45" w:hanging="718"/>
        <w:jc w:val="left"/>
      </w:pPr>
      <w:r>
        <w:t xml:space="preserve">9.2 </w:t>
      </w:r>
      <w:r>
        <w:tab/>
        <w:t xml:space="preserve">A guide to the requirements of each grade for each Discipline is set out in the table at Attachment 9a Annex A – Schedule of Services, and Attachment 9b Annex B - Qualifications &amp; Experience. </w:t>
      </w:r>
    </w:p>
    <w:p w:rsidR="00CA157D" w:rsidRDefault="00935285">
      <w:pPr>
        <w:spacing w:after="116" w:line="244" w:lineRule="auto"/>
        <w:ind w:left="703" w:right="45" w:hanging="718"/>
        <w:jc w:val="left"/>
      </w:pPr>
      <w:r>
        <w:t xml:space="preserve">9.3 </w:t>
      </w:r>
      <w:r>
        <w:tab/>
        <w:t xml:space="preserve">The cells requiring completion by the Potential Provider in the Time Charge Fees worksheet(s) are coloured </w:t>
      </w:r>
      <w:r>
        <w:rPr>
          <w:shd w:val="clear" w:color="auto" w:fill="FF0000"/>
        </w:rPr>
        <w:t>red</w:t>
      </w:r>
      <w:r>
        <w:t xml:space="preserve">.  The entry into each cell must be greater than zero (0) and all cells must be completed in accordance with this guidance.  Potential Providers shall note that only currency values can be inserted into the worksheets. </w:t>
      </w:r>
    </w:p>
    <w:p w:rsidR="00CA157D" w:rsidRDefault="00935285">
      <w:pPr>
        <w:spacing w:after="116" w:line="244" w:lineRule="auto"/>
        <w:ind w:left="703" w:right="45" w:hanging="718"/>
        <w:jc w:val="left"/>
      </w:pPr>
      <w:r>
        <w:t xml:space="preserve">9.4 </w:t>
      </w:r>
      <w:r>
        <w:tab/>
        <w:t xml:space="preserve">All rates will be rigorously checked for compliance with the statutory minimum wage requirements.  Potential Providers shall ensure that the hourly and daily rates submitted meet or exceed the National Minimum Wage and National Living Wage.    </w:t>
      </w:r>
    </w:p>
    <w:p w:rsidR="00CA157D" w:rsidRDefault="00935285">
      <w:pPr>
        <w:ind w:left="693" w:right="50" w:hanging="708"/>
      </w:pPr>
      <w:r>
        <w:t xml:space="preserve">9.5 </w:t>
      </w:r>
      <w:r>
        <w:tab/>
        <w:t xml:space="preserve">Potential Providers MUST complete all Time Charge worksheet(s) for the Lot(s) for which they are submitting a Tender. </w:t>
      </w:r>
    </w:p>
    <w:p w:rsidR="00CA157D" w:rsidRDefault="00935285">
      <w:pPr>
        <w:spacing w:after="116" w:line="244" w:lineRule="auto"/>
        <w:ind w:left="703" w:right="45" w:hanging="718"/>
        <w:jc w:val="left"/>
      </w:pPr>
      <w:r>
        <w:t xml:space="preserve">9.6 </w:t>
      </w:r>
      <w:r>
        <w:tab/>
        <w:t xml:space="preserve">All daily rates shall be based upon an eight (8) hour working day, excluding all breaks.  If the Potential Provider is commissioned on a daily rate basis, this rate shall apply regardless of the number of hours worked during the working day. </w:t>
      </w:r>
    </w:p>
    <w:p w:rsidR="00CA157D" w:rsidRDefault="00935285">
      <w:pPr>
        <w:ind w:left="693" w:right="50" w:hanging="708"/>
      </w:pPr>
      <w:r>
        <w:t xml:space="preserve">9.7 </w:t>
      </w:r>
      <w:r>
        <w:tab/>
        <w:t xml:space="preserve">Potential Providers shall note that the daily rate shall not be greater than the hourly rate multiplied by eight (8) hours.   </w:t>
      </w:r>
    </w:p>
    <w:p w:rsidR="00CA157D" w:rsidRDefault="00935285">
      <w:pPr>
        <w:ind w:left="693" w:right="50" w:hanging="708"/>
      </w:pPr>
      <w:r>
        <w:t xml:space="preserve">9.8 </w:t>
      </w:r>
      <w:r>
        <w:tab/>
        <w:t xml:space="preserve">The Time Charge Fees for hourly and daily rates shall include all travel and subsistence costs, and shall be fully inclusive of all necessary travel time. </w:t>
      </w:r>
    </w:p>
    <w:p w:rsidR="00CA157D" w:rsidRDefault="00935285">
      <w:pPr>
        <w:spacing w:after="116" w:line="244" w:lineRule="auto"/>
        <w:ind w:left="703" w:right="45" w:hanging="718"/>
        <w:jc w:val="left"/>
      </w:pPr>
      <w:r>
        <w:t xml:space="preserve">9.9 </w:t>
      </w:r>
      <w:r>
        <w:tab/>
        <w:t xml:space="preserve">The ‘greyed out’ table within Part 2. Time Charge Fees worksheet is for illustration purposes only, and enables the Potential Provider to see the impact of the rates inserted into the main tables when adjusted for regional variation. </w:t>
      </w:r>
    </w:p>
    <w:p w:rsidR="00CA157D" w:rsidRDefault="00935285">
      <w:pPr>
        <w:spacing w:after="275" w:line="244" w:lineRule="auto"/>
        <w:ind w:left="703" w:right="45" w:hanging="718"/>
        <w:jc w:val="left"/>
      </w:pPr>
      <w:r>
        <w:t xml:space="preserve">9.10 </w:t>
      </w:r>
      <w:r>
        <w:tab/>
        <w:t xml:space="preserve">Any Potential Provider who fails to comply with the above requirements shall be deemed to have submitted a non compliant Tender and may be excluded from further participation in this Procurement. </w:t>
      </w:r>
    </w:p>
    <w:p w:rsidR="00CA157D" w:rsidRDefault="00935285">
      <w:pPr>
        <w:spacing w:after="259" w:line="259" w:lineRule="auto"/>
        <w:ind w:left="708" w:right="0" w:firstLine="0"/>
        <w:jc w:val="left"/>
      </w:pPr>
      <w:r>
        <w:t xml:space="preserve"> </w:t>
      </w:r>
    </w:p>
    <w:p w:rsidR="00CA157D" w:rsidRDefault="00935285">
      <w:pPr>
        <w:spacing w:after="259" w:line="259" w:lineRule="auto"/>
        <w:ind w:left="1418" w:right="0" w:firstLine="0"/>
        <w:jc w:val="left"/>
      </w:pPr>
      <w:r>
        <w:t xml:space="preserve"> </w:t>
      </w:r>
    </w:p>
    <w:p w:rsidR="00CA157D" w:rsidRDefault="00935285">
      <w:pPr>
        <w:spacing w:after="98" w:line="259" w:lineRule="auto"/>
        <w:ind w:left="0" w:right="0" w:firstLine="0"/>
        <w:jc w:val="left"/>
      </w:pPr>
      <w:r>
        <w:t xml:space="preserve"> </w:t>
      </w:r>
    </w:p>
    <w:p w:rsidR="00CA157D" w:rsidRDefault="00935285">
      <w:pPr>
        <w:spacing w:after="0" w:line="259" w:lineRule="auto"/>
        <w:ind w:left="0" w:right="0" w:firstLine="0"/>
        <w:jc w:val="left"/>
      </w:pPr>
      <w:r>
        <w:t xml:space="preserve"> </w:t>
      </w:r>
      <w:r>
        <w:tab/>
        <w:t xml:space="preserve"> </w:t>
      </w:r>
    </w:p>
    <w:p w:rsidR="00CA157D" w:rsidRDefault="00935285">
      <w:pPr>
        <w:pStyle w:val="Heading2"/>
        <w:ind w:left="-5" w:right="49"/>
      </w:pPr>
      <w:r>
        <w:t xml:space="preserve">INSTRUCTIONS FOR COMPLETION - PRICE MODEL WORKBOOK (PART 3 REGIONAL VARIATIONS) </w:t>
      </w:r>
    </w:p>
    <w:p w:rsidR="00CA157D" w:rsidRDefault="00935285">
      <w:pPr>
        <w:pStyle w:val="Heading3"/>
        <w:spacing w:after="228"/>
        <w:ind w:left="-5" w:right="49"/>
      </w:pPr>
      <w:r>
        <w:t>10. Introduction</w:t>
      </w:r>
      <w:r>
        <w:rPr>
          <w:b w:val="0"/>
        </w:rPr>
        <w:t xml:space="preserve"> </w:t>
      </w:r>
    </w:p>
    <w:p w:rsidR="00CA157D" w:rsidRDefault="00935285">
      <w:pPr>
        <w:spacing w:after="234" w:line="244" w:lineRule="auto"/>
        <w:ind w:left="777" w:right="45" w:hanging="792"/>
        <w:jc w:val="left"/>
      </w:pPr>
      <w:r>
        <w:t xml:space="preserve">10.1. </w:t>
      </w:r>
      <w:r>
        <w:tab/>
        <w:t xml:space="preserve">Potential Providers shall complete </w:t>
      </w:r>
      <w:r>
        <w:rPr>
          <w:b/>
        </w:rPr>
        <w:t xml:space="preserve">Part 3: Regional Variations </w:t>
      </w:r>
      <w:r>
        <w:t xml:space="preserve">for Percentage Project Fees and Time Charge Fees in accordance with the instructions set out below. </w:t>
      </w:r>
    </w:p>
    <w:p w:rsidR="00CA157D" w:rsidRDefault="00935285">
      <w:pPr>
        <w:spacing w:after="232" w:line="244" w:lineRule="auto"/>
        <w:ind w:left="777" w:right="45" w:hanging="792"/>
        <w:jc w:val="left"/>
      </w:pPr>
      <w:r>
        <w:lastRenderedPageBreak/>
        <w:t xml:space="preserve">10.2. </w:t>
      </w:r>
      <w:r>
        <w:tab/>
        <w:t>The regions are based on UK Regional NUTS codes.  There are a total of six (6) regions, two of which (</w:t>
      </w:r>
      <w:r>
        <w:rPr>
          <w:b/>
        </w:rPr>
        <w:t>Region 4 - North Region</w:t>
      </w:r>
      <w:r>
        <w:t xml:space="preserve"> and </w:t>
      </w:r>
      <w:r>
        <w:rPr>
          <w:b/>
        </w:rPr>
        <w:t>Region 5a - South Region)</w:t>
      </w:r>
      <w:r>
        <w:t xml:space="preserve">, contain a number of distinct areas, as defined by the relevant NUTS codes.  A single percentage adjustment shall be inserted for each Region, rather than for the individual NUTS code areas for Region 4 and for Region 5a. </w:t>
      </w:r>
    </w:p>
    <w:p w:rsidR="00CA157D" w:rsidRDefault="00935285">
      <w:pPr>
        <w:pStyle w:val="Heading3"/>
        <w:tabs>
          <w:tab w:val="center" w:pos="3220"/>
        </w:tabs>
        <w:spacing w:after="240"/>
        <w:ind w:left="-15" w:firstLine="0"/>
        <w:jc w:val="left"/>
      </w:pPr>
      <w:r>
        <w:t xml:space="preserve">11. </w:t>
      </w:r>
      <w:r>
        <w:tab/>
        <w:t xml:space="preserve">Regional Variations for Percentage Project Fees </w:t>
      </w:r>
    </w:p>
    <w:p w:rsidR="00CA157D" w:rsidRDefault="00935285">
      <w:pPr>
        <w:tabs>
          <w:tab w:val="center" w:pos="4491"/>
        </w:tabs>
        <w:spacing w:after="234"/>
        <w:ind w:left="-15" w:right="0" w:firstLine="0"/>
        <w:jc w:val="left"/>
      </w:pPr>
      <w:r>
        <w:t xml:space="preserve">11.1. </w:t>
      </w:r>
      <w:r>
        <w:tab/>
        <w:t xml:space="preserve">The cells requiring completion by the Potential Provider are coloured </w:t>
      </w:r>
      <w:r>
        <w:rPr>
          <w:shd w:val="clear" w:color="auto" w:fill="FFFF00"/>
        </w:rPr>
        <w:t>yellow</w:t>
      </w:r>
      <w:r>
        <w:t xml:space="preserve">.  </w:t>
      </w:r>
    </w:p>
    <w:p w:rsidR="00CA157D" w:rsidRDefault="00935285">
      <w:pPr>
        <w:spacing w:after="261" w:line="244" w:lineRule="auto"/>
        <w:ind w:left="777" w:right="45" w:hanging="792"/>
        <w:jc w:val="left"/>
      </w:pPr>
      <w:r>
        <w:t xml:space="preserve">11.2. </w:t>
      </w:r>
      <w:r>
        <w:tab/>
        <w:t xml:space="preserve">The percentage fees inserted by the Potential Provider into the red cells in </w:t>
      </w:r>
      <w:r>
        <w:rPr>
          <w:b/>
        </w:rPr>
        <w:t xml:space="preserve">Part 1: Percentage Project Fees </w:t>
      </w:r>
      <w:r>
        <w:t xml:space="preserve">(based on a project of MEDIUM complexity as noted in paragraph 8.2 above) will be deemed to be the ‘base rates’. </w:t>
      </w:r>
    </w:p>
    <w:p w:rsidR="00CA157D" w:rsidRDefault="00935285">
      <w:pPr>
        <w:spacing w:after="234" w:line="244" w:lineRule="auto"/>
        <w:ind w:left="777" w:right="45" w:hanging="792"/>
        <w:jc w:val="left"/>
      </w:pPr>
      <w:r>
        <w:t xml:space="preserve">11.3. </w:t>
      </w:r>
      <w:r>
        <w:tab/>
        <w:t xml:space="preserve">Potential Providers shall enter an adjustment from their ‘base rates’ as noted immediately above.  Potential Providers wishing to submit a negative adjustment (i.e. reduction) shall enter a minus (-) sign in front of the percentage adjustment rate.  If no adjustment is required the Potential Provider shall enter zero (0). </w:t>
      </w:r>
    </w:p>
    <w:p w:rsidR="00CA157D" w:rsidRDefault="00935285">
      <w:pPr>
        <w:spacing w:after="233"/>
        <w:ind w:left="777" w:right="50" w:hanging="792"/>
      </w:pPr>
      <w:r>
        <w:rPr>
          <w:b/>
        </w:rPr>
        <w:t xml:space="preserve">11.4. </w:t>
      </w:r>
      <w:r>
        <w:rPr>
          <w:b/>
        </w:rPr>
        <w:tab/>
      </w:r>
      <w:r>
        <w:t xml:space="preserve">Adjustments entered for any regional variations will be used in the calculation of average fee rates in worksheet </w:t>
      </w:r>
      <w:r>
        <w:rPr>
          <w:b/>
        </w:rPr>
        <w:t>Part 5: % Project Fees Summary</w:t>
      </w:r>
      <w:r>
        <w:t>.</w:t>
      </w:r>
      <w:r>
        <w:rPr>
          <w:b/>
        </w:rPr>
        <w:t xml:space="preserve"> </w:t>
      </w:r>
    </w:p>
    <w:p w:rsidR="00CA157D" w:rsidRDefault="00935285">
      <w:pPr>
        <w:pStyle w:val="Heading3"/>
        <w:tabs>
          <w:tab w:val="center" w:pos="2890"/>
        </w:tabs>
        <w:ind w:left="-15" w:firstLine="0"/>
        <w:jc w:val="left"/>
      </w:pPr>
      <w:r>
        <w:t xml:space="preserve">12. </w:t>
      </w:r>
      <w:r>
        <w:tab/>
        <w:t xml:space="preserve">Regional Variations for Time Charge Fees </w:t>
      </w:r>
    </w:p>
    <w:p w:rsidR="00CA157D" w:rsidRDefault="00935285">
      <w:pPr>
        <w:tabs>
          <w:tab w:val="center" w:pos="4491"/>
        </w:tabs>
        <w:ind w:left="-15" w:right="0" w:firstLine="0"/>
        <w:jc w:val="left"/>
      </w:pPr>
      <w:r>
        <w:t xml:space="preserve">12.1. </w:t>
      </w:r>
      <w:r>
        <w:tab/>
        <w:t xml:space="preserve">The cells requiring completion by the Potential Provider are coloured </w:t>
      </w:r>
      <w:r>
        <w:rPr>
          <w:shd w:val="clear" w:color="auto" w:fill="FFFF00"/>
        </w:rPr>
        <w:t>yellow</w:t>
      </w:r>
      <w:r>
        <w:t xml:space="preserve">. </w:t>
      </w:r>
    </w:p>
    <w:p w:rsidR="00CA157D" w:rsidRDefault="00935285">
      <w:pPr>
        <w:ind w:left="777" w:right="50" w:hanging="792"/>
      </w:pPr>
      <w:r>
        <w:t xml:space="preserve">12.2. The Potential Provider shall enter an adjustment to their hourly and daily rates (worksheet Part 2: Time Charge Fees).  Potential Providers wishing to submit a negative adjustment (i.e. reduction) shall enter a minus (-) sign in front of the percentage adjustment rate.  If no adjustment is required the Potential Provider shall enter zero (0). </w:t>
      </w:r>
    </w:p>
    <w:p w:rsidR="00CA157D" w:rsidRDefault="00935285">
      <w:pPr>
        <w:ind w:left="777" w:right="50" w:hanging="792"/>
      </w:pPr>
      <w:r>
        <w:t xml:space="preserve">12.3. Any adjustments entered for regional variations will be used in the calculation of average fee rates in worksheet </w:t>
      </w:r>
      <w:r>
        <w:rPr>
          <w:b/>
        </w:rPr>
        <w:t>Part 4: Time Charge Fees Summary</w:t>
      </w:r>
      <w:r>
        <w:t xml:space="preserve">.  </w:t>
      </w:r>
    </w:p>
    <w:p w:rsidR="00CA157D" w:rsidRDefault="00935285">
      <w:pPr>
        <w:ind w:left="777" w:right="50" w:hanging="792"/>
      </w:pPr>
      <w:r>
        <w:t xml:space="preserve">12.4. Application of the regional variations will be determined by the location of the delivery of the Service. </w:t>
      </w:r>
    </w:p>
    <w:p w:rsidR="00CA157D" w:rsidRDefault="00935285">
      <w:pPr>
        <w:spacing w:after="0" w:line="259" w:lineRule="auto"/>
        <w:ind w:left="0" w:right="0" w:firstLine="0"/>
        <w:jc w:val="left"/>
      </w:pPr>
      <w:r>
        <w:t xml:space="preserve"> </w:t>
      </w:r>
    </w:p>
    <w:p w:rsidR="00CA157D" w:rsidRDefault="00935285">
      <w:pPr>
        <w:pStyle w:val="Heading1"/>
      </w:pPr>
      <w:r>
        <w:t xml:space="preserve">PRICE EVALUATION </w:t>
      </w:r>
      <w:r>
        <w:rPr>
          <w:i/>
        </w:rPr>
        <w:t xml:space="preserve"> </w:t>
      </w:r>
    </w:p>
    <w:p w:rsidR="00CA157D" w:rsidRDefault="00935285">
      <w:pPr>
        <w:spacing w:after="259" w:line="259" w:lineRule="auto"/>
        <w:ind w:left="708" w:right="0" w:firstLine="0"/>
        <w:jc w:val="left"/>
      </w:pPr>
      <w:r>
        <w:t xml:space="preserve"> </w:t>
      </w:r>
    </w:p>
    <w:p w:rsidR="00CA157D" w:rsidRDefault="00935285">
      <w:pPr>
        <w:pStyle w:val="Heading2"/>
        <w:tabs>
          <w:tab w:val="center" w:pos="2419"/>
        </w:tabs>
        <w:ind w:left="-15" w:firstLine="0"/>
        <w:jc w:val="left"/>
      </w:pPr>
      <w:r>
        <w:rPr>
          <w:b w:val="0"/>
        </w:rPr>
        <w:t xml:space="preserve">13. </w:t>
      </w:r>
      <w:r>
        <w:rPr>
          <w:b w:val="0"/>
        </w:rPr>
        <w:tab/>
      </w:r>
      <w:r>
        <w:t>Introduction to Evaluation Model</w:t>
      </w:r>
      <w:r>
        <w:rPr>
          <w:b w:val="0"/>
        </w:rPr>
        <w:t xml:space="preserve">  </w:t>
      </w:r>
    </w:p>
    <w:p w:rsidR="00CA157D" w:rsidRDefault="00935285">
      <w:pPr>
        <w:ind w:left="-5" w:right="50"/>
      </w:pPr>
      <w:r>
        <w:t xml:space="preserve">13.1. This section describes how Potential Providers’ Price submissions will be evaluated. </w:t>
      </w:r>
    </w:p>
    <w:p w:rsidR="00CA157D" w:rsidRDefault="00935285">
      <w:pPr>
        <w:spacing w:after="275"/>
        <w:ind w:left="777" w:right="50" w:hanging="792"/>
      </w:pPr>
      <w:r>
        <w:t xml:space="preserve">13.2. The split between the weightings for  Quality and Price in respect of this procurement are set out below:- </w:t>
      </w:r>
    </w:p>
    <w:p w:rsidR="00CA157D" w:rsidRDefault="00935285">
      <w:pPr>
        <w:tabs>
          <w:tab w:val="center" w:pos="1791"/>
          <w:tab w:val="center" w:pos="2772"/>
        </w:tabs>
        <w:spacing w:after="277"/>
        <w:ind w:left="0" w:right="0" w:firstLine="0"/>
        <w:jc w:val="left"/>
      </w:pPr>
      <w:r>
        <w:rPr>
          <w:rFonts w:ascii="Calibri" w:eastAsia="Calibri" w:hAnsi="Calibri" w:cs="Calibri"/>
        </w:rPr>
        <w:tab/>
      </w:r>
      <w:r>
        <w:t xml:space="preserve">Quality: </w:t>
      </w:r>
      <w:r>
        <w:tab/>
        <w:t xml:space="preserve">75% </w:t>
      </w:r>
    </w:p>
    <w:p w:rsidR="00CA157D" w:rsidRDefault="00935285">
      <w:pPr>
        <w:tabs>
          <w:tab w:val="center" w:pos="1700"/>
          <w:tab w:val="center" w:pos="2772"/>
        </w:tabs>
        <w:spacing w:after="277"/>
        <w:ind w:left="0" w:right="0" w:firstLine="0"/>
        <w:jc w:val="left"/>
      </w:pPr>
      <w:r>
        <w:rPr>
          <w:rFonts w:ascii="Calibri" w:eastAsia="Calibri" w:hAnsi="Calibri" w:cs="Calibri"/>
        </w:rPr>
        <w:tab/>
      </w:r>
      <w:r>
        <w:t xml:space="preserve">Price: </w:t>
      </w:r>
      <w:r>
        <w:tab/>
        <w:t xml:space="preserve">25% </w:t>
      </w:r>
    </w:p>
    <w:p w:rsidR="00CA157D" w:rsidRDefault="00935285">
      <w:pPr>
        <w:spacing w:after="273"/>
        <w:ind w:left="693" w:right="50" w:hanging="708"/>
      </w:pPr>
      <w:r>
        <w:t xml:space="preserve">13.3. Therefore, 25% of the total weighted score is allocated to the pricing element of each Lot. The Price weighting is further apportioned as follows: </w:t>
      </w:r>
    </w:p>
    <w:p w:rsidR="00CA157D" w:rsidRDefault="00935285">
      <w:pPr>
        <w:spacing w:after="272"/>
        <w:ind w:left="1428" w:right="50"/>
      </w:pPr>
      <w:r>
        <w:lastRenderedPageBreak/>
        <w:t xml:space="preserve">Percentage Project Fees: 20% </w:t>
      </w:r>
    </w:p>
    <w:p w:rsidR="00CA157D" w:rsidRDefault="00935285">
      <w:pPr>
        <w:spacing w:after="278"/>
        <w:ind w:left="1428" w:right="50"/>
      </w:pPr>
      <w:r>
        <w:t xml:space="preserve">Time Charge Fees: 5% </w:t>
      </w:r>
    </w:p>
    <w:p w:rsidR="00CA157D" w:rsidRDefault="00935285">
      <w:pPr>
        <w:ind w:left="693" w:right="50" w:hanging="708"/>
      </w:pPr>
      <w:r>
        <w:t xml:space="preserve">13.4. Potential Providers’ Price Scores will be calculated using the combined score of the </w:t>
      </w:r>
      <w:r>
        <w:rPr>
          <w:b/>
        </w:rPr>
        <w:t>Percentage Project Fees</w:t>
      </w:r>
      <w:r>
        <w:t xml:space="preserve"> and </w:t>
      </w:r>
      <w:r>
        <w:rPr>
          <w:b/>
        </w:rPr>
        <w:t>Time Charge Fees</w:t>
      </w:r>
      <w:r>
        <w:t xml:space="preserve">. </w:t>
      </w:r>
    </w:p>
    <w:p w:rsidR="00CA157D" w:rsidRDefault="00935285">
      <w:pPr>
        <w:ind w:left="693" w:right="50" w:hanging="708"/>
      </w:pPr>
      <w:r>
        <w:t xml:space="preserve">13.5. Where there is more than one Core Service Discipline in the respective Lot for which the Potential Provider is submitting a Tender, the Price weighting is split across each Core Service Discipline, reflecting the relative importance of each discipline within that Lot.   </w:t>
      </w:r>
    </w:p>
    <w:p w:rsidR="00CA157D" w:rsidRDefault="00935285">
      <w:pPr>
        <w:spacing w:after="0"/>
        <w:ind w:left="693" w:right="50" w:hanging="708"/>
      </w:pPr>
      <w:r>
        <w:t xml:space="preserve">13.6. The table at Annex B – Evaluation Weightings sets out the weightings for each Lot and each Lot grouping. </w:t>
      </w:r>
    </w:p>
    <w:p w:rsidR="00CA157D" w:rsidRDefault="00935285">
      <w:pPr>
        <w:spacing w:after="0" w:line="259" w:lineRule="auto"/>
        <w:ind w:left="708" w:right="0" w:firstLine="0"/>
        <w:jc w:val="left"/>
      </w:pPr>
      <w:r>
        <w:t xml:space="preserve"> </w:t>
      </w:r>
    </w:p>
    <w:p w:rsidR="00CA157D" w:rsidRDefault="00935285">
      <w:pPr>
        <w:ind w:left="693" w:right="50" w:hanging="708"/>
      </w:pPr>
      <w:r>
        <w:t xml:space="preserve">13.7. Potential Providers’ submitted Prices for worksheets </w:t>
      </w:r>
      <w:r>
        <w:rPr>
          <w:b/>
        </w:rPr>
        <w:t>Part 1: Percentage Project Fees</w:t>
      </w:r>
      <w:r>
        <w:t xml:space="preserve"> and </w:t>
      </w:r>
      <w:r>
        <w:rPr>
          <w:b/>
        </w:rPr>
        <w:t>Part 2: Time Charge Fees</w:t>
      </w:r>
      <w:r>
        <w:t xml:space="preserve"> will be evaluated.   </w:t>
      </w:r>
    </w:p>
    <w:p w:rsidR="00CA157D" w:rsidRDefault="00935285">
      <w:pPr>
        <w:ind w:left="693" w:right="50" w:hanging="708"/>
      </w:pPr>
      <w:r>
        <w:t xml:space="preserve">13.8. Potential Providers’ submitted Prices will be sub-weighted against each Price component.  These are clearly set out within the Price Model workbooks.  </w:t>
      </w:r>
    </w:p>
    <w:p w:rsidR="00CA157D" w:rsidRDefault="00935285">
      <w:pPr>
        <w:pStyle w:val="Heading2"/>
        <w:tabs>
          <w:tab w:val="center" w:pos="1986"/>
        </w:tabs>
        <w:ind w:left="-15" w:firstLine="0"/>
        <w:jc w:val="left"/>
      </w:pPr>
      <w:r>
        <w:t xml:space="preserve">14. </w:t>
      </w:r>
      <w:r>
        <w:tab/>
        <w:t xml:space="preserve">Percentage Project Fees </w:t>
      </w:r>
    </w:p>
    <w:p w:rsidR="00CA157D" w:rsidRDefault="00935285">
      <w:pPr>
        <w:pStyle w:val="Heading3"/>
        <w:ind w:left="-5" w:right="49"/>
      </w:pPr>
      <w:r>
        <w:rPr>
          <w:b w:val="0"/>
        </w:rPr>
        <w:t xml:space="preserve">14.1. </w:t>
      </w:r>
      <w:r>
        <w:t>Maximum Fee Apportionment to Project Stages</w:t>
      </w:r>
      <w:r>
        <w:rPr>
          <w:b w:val="0"/>
        </w:rPr>
        <w:t xml:space="preserve"> </w:t>
      </w:r>
    </w:p>
    <w:p w:rsidR="00CA157D" w:rsidRDefault="00935285">
      <w:pPr>
        <w:ind w:left="1418" w:right="50" w:hanging="698"/>
      </w:pPr>
      <w:r>
        <w:t xml:space="preserve">14.1.1. Potential Providers shall note that for each Core Service Discipline and for each Procurement Type the Authority has set a ‘Maximum Fee Apportionment’.  This relates to the cumulative total of the fee at the ‘Pre-Contract’ stage of the Project, i.e. Stages 0-4 of the RIBA Plan of Work 2013. </w:t>
      </w:r>
    </w:p>
    <w:p w:rsidR="00CA157D" w:rsidRDefault="00935285">
      <w:pPr>
        <w:spacing w:after="152"/>
        <w:ind w:left="1418" w:right="50" w:hanging="698"/>
      </w:pPr>
      <w:r>
        <w:t xml:space="preserve">14.1.2. The workbooks are automatically set to calculate the percentage of the total fee payable for each Core Service Discipline for Stage 0 to Stage 4 inclusive.  The Authority has set its maximum fee apportionment and this is clearly indicated for each table within </w:t>
      </w:r>
      <w:r>
        <w:rPr>
          <w:b/>
        </w:rPr>
        <w:t xml:space="preserve">Part 1: Percentage Project Fees </w:t>
      </w:r>
      <w:r>
        <w:t xml:space="preserve">worksheet. </w:t>
      </w:r>
    </w:p>
    <w:p w:rsidR="00CA157D" w:rsidRDefault="00935285">
      <w:pPr>
        <w:spacing w:after="16"/>
        <w:ind w:left="730" w:right="50"/>
      </w:pPr>
      <w:r>
        <w:t xml:space="preserve">14.1.3. If the Potential Provider’s percentage apportionment of the fee exceeds the </w:t>
      </w:r>
    </w:p>
    <w:p w:rsidR="00CA157D" w:rsidRDefault="00935285">
      <w:pPr>
        <w:ind w:left="1428" w:right="50"/>
      </w:pPr>
      <w:r>
        <w:t xml:space="preserve">Authority’s maximum fee apportionment, then the cell entitled ‘Stage 0-4 as percentage of total fee’ will turn </w:t>
      </w:r>
      <w:r>
        <w:rPr>
          <w:shd w:val="clear" w:color="auto" w:fill="FF0000"/>
        </w:rPr>
        <w:t>red</w:t>
      </w:r>
      <w:r>
        <w:t xml:space="preserve">.  </w:t>
      </w:r>
    </w:p>
    <w:p w:rsidR="00CA157D" w:rsidRDefault="00935285">
      <w:pPr>
        <w:spacing w:after="0" w:line="259" w:lineRule="auto"/>
        <w:ind w:left="0" w:right="58" w:firstLine="0"/>
        <w:jc w:val="right"/>
      </w:pPr>
      <w:r>
        <w:t xml:space="preserve">14.1.4. Any Potential Provider who enters percentage fees that, in total for Stage 0 to </w:t>
      </w:r>
    </w:p>
    <w:p w:rsidR="00CA157D" w:rsidRDefault="00935285">
      <w:pPr>
        <w:ind w:left="1428" w:right="50"/>
      </w:pPr>
      <w:r>
        <w:t xml:space="preserve">Stage 4, exceeds the ‘Maximum Fee Apportionment’ for any Core Service Discipline and for any Procurement Type shall be deemed to have submitted a non compliant Tender and may be excluded from further participation in this Procurement. </w:t>
      </w:r>
    </w:p>
    <w:p w:rsidR="00CA157D" w:rsidRDefault="00935285">
      <w:pPr>
        <w:ind w:left="1418" w:right="50" w:hanging="698"/>
      </w:pPr>
      <w:r>
        <w:t xml:space="preserve">14.1.5. Potential Providers should note that the ‘Maximum Fee Apportionment’ for each Core Service Discipline and for each Procurement Type are based on evidence of previous frameworks and best practice. </w:t>
      </w:r>
    </w:p>
    <w:p w:rsidR="00CA157D" w:rsidRDefault="00935285">
      <w:pPr>
        <w:spacing w:after="0" w:line="259" w:lineRule="auto"/>
        <w:ind w:left="0" w:right="0" w:firstLine="0"/>
        <w:jc w:val="left"/>
      </w:pPr>
      <w:r>
        <w:t xml:space="preserve"> </w:t>
      </w:r>
      <w:r>
        <w:tab/>
        <w:t xml:space="preserve"> </w:t>
      </w:r>
      <w:r>
        <w:br w:type="page"/>
      </w:r>
    </w:p>
    <w:p w:rsidR="00CA157D" w:rsidRDefault="00935285">
      <w:pPr>
        <w:pStyle w:val="Heading2"/>
        <w:tabs>
          <w:tab w:val="center" w:pos="2746"/>
        </w:tabs>
        <w:ind w:left="-15" w:firstLine="0"/>
        <w:jc w:val="left"/>
      </w:pPr>
      <w:r>
        <w:lastRenderedPageBreak/>
        <w:t xml:space="preserve">15. </w:t>
      </w:r>
      <w:r>
        <w:tab/>
        <w:t xml:space="preserve">Calculation of Percentage Project Fees </w:t>
      </w:r>
    </w:p>
    <w:p w:rsidR="00CA157D" w:rsidRDefault="00935285">
      <w:pPr>
        <w:spacing w:after="284"/>
        <w:ind w:left="693" w:right="50" w:hanging="708"/>
      </w:pPr>
      <w:r>
        <w:t xml:space="preserve">15.1. </w:t>
      </w:r>
      <w:r>
        <w:rPr>
          <w:b/>
        </w:rPr>
        <w:t xml:space="preserve">Part 5: % Project Fees Summary </w:t>
      </w:r>
      <w:r>
        <w:t xml:space="preserve">worksheet is automatically populated with the rates inserted by the Potential Provider in the following worksheets:- </w:t>
      </w:r>
    </w:p>
    <w:p w:rsidR="00CA157D" w:rsidRDefault="00935285">
      <w:pPr>
        <w:numPr>
          <w:ilvl w:val="0"/>
          <w:numId w:val="2"/>
        </w:numPr>
        <w:ind w:right="50" w:hanging="432"/>
      </w:pPr>
      <w:r>
        <w:rPr>
          <w:b/>
        </w:rPr>
        <w:t xml:space="preserve">Part 1: Percentage Project Fees </w:t>
      </w:r>
      <w:r>
        <w:t xml:space="preserve">worksheet (from the Price Model tables for each Procurement Type) </w:t>
      </w:r>
    </w:p>
    <w:p w:rsidR="00CA157D" w:rsidRDefault="00935285">
      <w:pPr>
        <w:numPr>
          <w:ilvl w:val="0"/>
          <w:numId w:val="2"/>
        </w:numPr>
        <w:spacing w:after="77" w:line="259" w:lineRule="auto"/>
        <w:ind w:right="50" w:hanging="432"/>
      </w:pPr>
      <w:r>
        <w:rPr>
          <w:b/>
        </w:rPr>
        <w:t>Part 1: Percentage Project Fees</w:t>
      </w:r>
      <w:r>
        <w:t xml:space="preserve"> worksheet</w:t>
      </w:r>
      <w:r>
        <w:rPr>
          <w:b/>
        </w:rPr>
        <w:t xml:space="preserve"> </w:t>
      </w:r>
      <w:r>
        <w:t xml:space="preserve">(from the Project Complexity tables) </w:t>
      </w:r>
    </w:p>
    <w:p w:rsidR="00CA157D" w:rsidRDefault="00935285">
      <w:pPr>
        <w:numPr>
          <w:ilvl w:val="0"/>
          <w:numId w:val="2"/>
        </w:numPr>
        <w:spacing w:after="271"/>
        <w:ind w:right="50" w:hanging="432"/>
      </w:pPr>
      <w:r>
        <w:rPr>
          <w:b/>
        </w:rPr>
        <w:t xml:space="preserve">Part 3: Regional Variations </w:t>
      </w:r>
      <w:r>
        <w:t xml:space="preserve">worksheet (from the rates inserted for each region in the column entitled Percentage) </w:t>
      </w:r>
    </w:p>
    <w:p w:rsidR="00CA157D" w:rsidRDefault="00935285">
      <w:pPr>
        <w:ind w:left="693" w:right="50" w:hanging="708"/>
      </w:pPr>
      <w:r>
        <w:t xml:space="preserve">15.2. The calculation of the Percentage Project Fees follows a five-step process as set out below:- </w:t>
      </w:r>
    </w:p>
    <w:p w:rsidR="00CA157D" w:rsidRDefault="00935285">
      <w:pPr>
        <w:spacing w:after="11"/>
        <w:ind w:left="1418" w:right="50" w:hanging="698"/>
      </w:pPr>
      <w:r>
        <w:t xml:space="preserve">15.2.1. In </w:t>
      </w:r>
      <w:r>
        <w:rPr>
          <w:b/>
        </w:rPr>
        <w:t>Step 1</w:t>
      </w:r>
      <w:r>
        <w:t xml:space="preserve">, the Prices submitted by the Potential Provider in </w:t>
      </w:r>
      <w:r>
        <w:rPr>
          <w:b/>
        </w:rPr>
        <w:t xml:space="preserve">Part 1: Percentage Project Fees </w:t>
      </w:r>
      <w:r>
        <w:t>worksheet</w:t>
      </w:r>
      <w:r>
        <w:rPr>
          <w:b/>
        </w:rPr>
        <w:t xml:space="preserve"> </w:t>
      </w:r>
      <w:r>
        <w:t xml:space="preserve">will automatically populate </w:t>
      </w:r>
      <w:r>
        <w:rPr>
          <w:b/>
        </w:rPr>
        <w:t xml:space="preserve">Part 5. % Project Fees Summary </w:t>
      </w:r>
      <w:r>
        <w:t>worksheet</w:t>
      </w:r>
      <w:r>
        <w:rPr>
          <w:b/>
        </w:rPr>
        <w:t>: Table 1 – Weighted Percentage Fees (By Value Band).</w:t>
      </w:r>
      <w:r>
        <w:t xml:space="preserve">  The Prices are then automatically weighted by the column entitled ‘Value Band Weighting’ by an adjustment factor of 0.5, 0.75, 1.00, 1.25 or 1.50.  These weightings are used to indicate the estimated likelihood of projects within the value bands.  Therefore, the weighting is higher where the ‘Project Value’ is more likely to apply.  The Value Band Weighting is then multiplied by the Potential Provider’s submitted Price to establish the ‘Weighted Fee Percentage’.  This process is replicated for all Procurement Types.  Finally, the average (mean) ‘Average Weighted Fee Percentage’ is calculated. This is illustrated in the table below: </w:t>
      </w:r>
    </w:p>
    <w:tbl>
      <w:tblPr>
        <w:tblStyle w:val="TableGrid"/>
        <w:tblW w:w="7146" w:type="dxa"/>
        <w:tblInd w:w="853" w:type="dxa"/>
        <w:tblCellMar>
          <w:left w:w="107" w:type="dxa"/>
          <w:bottom w:w="6" w:type="dxa"/>
        </w:tblCellMar>
        <w:tblLook w:val="04A0" w:firstRow="1" w:lastRow="0" w:firstColumn="1" w:lastColumn="0" w:noHBand="0" w:noVBand="1"/>
      </w:tblPr>
      <w:tblGrid>
        <w:gridCol w:w="3379"/>
        <w:gridCol w:w="1261"/>
        <w:gridCol w:w="1301"/>
        <w:gridCol w:w="1205"/>
      </w:tblGrid>
      <w:tr w:rsidR="00CA157D">
        <w:trPr>
          <w:trHeight w:val="382"/>
        </w:trPr>
        <w:tc>
          <w:tcPr>
            <w:tcW w:w="7146"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rsidR="00CA157D" w:rsidRDefault="00935285">
            <w:pPr>
              <w:spacing w:after="0" w:line="259" w:lineRule="auto"/>
              <w:ind w:left="0" w:right="0" w:firstLine="0"/>
              <w:jc w:val="left"/>
            </w:pPr>
            <w:r>
              <w:rPr>
                <w:b/>
              </w:rPr>
              <w:t xml:space="preserve">Table 1 – Weighted Percentage Fees (By Value Band) </w:t>
            </w:r>
          </w:p>
        </w:tc>
      </w:tr>
      <w:tr w:rsidR="00CA157D">
        <w:trPr>
          <w:trHeight w:val="383"/>
        </w:trPr>
        <w:tc>
          <w:tcPr>
            <w:tcW w:w="338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rsidR="00CA157D" w:rsidRDefault="00935285">
            <w:pPr>
              <w:spacing w:after="0" w:line="259" w:lineRule="auto"/>
              <w:ind w:left="0" w:right="105" w:firstLine="0"/>
              <w:jc w:val="center"/>
            </w:pPr>
            <w:r>
              <w:rPr>
                <w:b/>
              </w:rPr>
              <w:t xml:space="preserve">Project Value </w:t>
            </w:r>
          </w:p>
        </w:tc>
        <w:tc>
          <w:tcPr>
            <w:tcW w:w="3767"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CA157D" w:rsidRDefault="00935285">
            <w:pPr>
              <w:spacing w:after="0" w:line="259" w:lineRule="auto"/>
              <w:ind w:left="0" w:right="109" w:firstLine="0"/>
              <w:jc w:val="center"/>
            </w:pPr>
            <w:r>
              <w:rPr>
                <w:b/>
              </w:rPr>
              <w:t xml:space="preserve">Design &amp; Build Single Stage </w:t>
            </w:r>
          </w:p>
        </w:tc>
      </w:tr>
      <w:tr w:rsidR="00CA157D">
        <w:trPr>
          <w:trHeight w:val="890"/>
        </w:trPr>
        <w:tc>
          <w:tcPr>
            <w:tcW w:w="0" w:type="auto"/>
            <w:vMerge/>
            <w:tcBorders>
              <w:top w:val="nil"/>
              <w:left w:val="single" w:sz="4" w:space="0" w:color="000000"/>
              <w:bottom w:val="single" w:sz="4" w:space="0" w:color="000000"/>
              <w:right w:val="single" w:sz="4" w:space="0" w:color="000000"/>
            </w:tcBorders>
          </w:tcPr>
          <w:p w:rsidR="00CA157D" w:rsidRDefault="00CA157D">
            <w:pPr>
              <w:spacing w:after="160" w:line="259" w:lineRule="auto"/>
              <w:ind w:left="0" w:right="0" w:firstLine="0"/>
              <w:jc w:val="left"/>
            </w:pPr>
          </w:p>
        </w:tc>
        <w:tc>
          <w:tcPr>
            <w:tcW w:w="1261"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157D" w:rsidRDefault="00935285">
            <w:pPr>
              <w:spacing w:after="0" w:line="259" w:lineRule="auto"/>
              <w:ind w:left="0" w:right="108" w:firstLine="0"/>
              <w:jc w:val="center"/>
            </w:pPr>
            <w:r>
              <w:rPr>
                <w:b/>
              </w:rPr>
              <w:t xml:space="preserve">% </w:t>
            </w:r>
          </w:p>
        </w:tc>
        <w:tc>
          <w:tcPr>
            <w:tcW w:w="1301"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157D" w:rsidRDefault="00935285">
            <w:pPr>
              <w:spacing w:after="0" w:line="259" w:lineRule="auto"/>
              <w:ind w:left="0" w:right="107" w:firstLine="0"/>
              <w:jc w:val="center"/>
            </w:pPr>
            <w:r>
              <w:rPr>
                <w:b/>
              </w:rPr>
              <w:t xml:space="preserve">Value </w:t>
            </w:r>
          </w:p>
          <w:p w:rsidR="00CA157D" w:rsidRDefault="00935285">
            <w:pPr>
              <w:spacing w:after="0" w:line="259" w:lineRule="auto"/>
              <w:ind w:left="0" w:right="106" w:firstLine="0"/>
              <w:jc w:val="center"/>
            </w:pPr>
            <w:r>
              <w:rPr>
                <w:b/>
              </w:rPr>
              <w:t xml:space="preserve">Band </w:t>
            </w:r>
          </w:p>
          <w:p w:rsidR="00CA157D" w:rsidRDefault="00935285">
            <w:pPr>
              <w:spacing w:after="0" w:line="259" w:lineRule="auto"/>
              <w:ind w:left="12" w:right="0" w:firstLine="0"/>
              <w:jc w:val="left"/>
            </w:pPr>
            <w:r>
              <w:rPr>
                <w:b/>
              </w:rPr>
              <w:t xml:space="preserve">Weighting </w:t>
            </w:r>
          </w:p>
        </w:tc>
        <w:tc>
          <w:tcPr>
            <w:tcW w:w="1205" w:type="dxa"/>
            <w:tcBorders>
              <w:top w:val="single" w:sz="4" w:space="0" w:color="000000"/>
              <w:left w:val="single" w:sz="4" w:space="0" w:color="000000"/>
              <w:bottom w:val="single" w:sz="4" w:space="0" w:color="000000"/>
              <w:right w:val="single" w:sz="4" w:space="0" w:color="000000"/>
            </w:tcBorders>
            <w:shd w:val="clear" w:color="auto" w:fill="CCFFCC"/>
            <w:vAlign w:val="bottom"/>
          </w:tcPr>
          <w:p w:rsidR="00CA157D" w:rsidRDefault="00935285">
            <w:pPr>
              <w:spacing w:after="0" w:line="259" w:lineRule="auto"/>
              <w:ind w:left="0" w:right="0" w:firstLine="0"/>
              <w:jc w:val="center"/>
            </w:pPr>
            <w:r>
              <w:rPr>
                <w:b/>
              </w:rPr>
              <w:t xml:space="preserve">Weighted Fee % </w:t>
            </w:r>
          </w:p>
        </w:tc>
      </w:tr>
      <w:tr w:rsidR="00CA157D">
        <w:trPr>
          <w:trHeight w:val="383"/>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7" w:firstLine="0"/>
              <w:jc w:val="center"/>
            </w:pPr>
            <w:r>
              <w:t xml:space="preserve">0 – 500,000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9.000%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0.75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1" w:firstLine="0"/>
              <w:jc w:val="center"/>
            </w:pPr>
            <w:r>
              <w:t xml:space="preserve">6.750% </w:t>
            </w:r>
          </w:p>
        </w:tc>
      </w:tr>
      <w:tr w:rsidR="00CA157D">
        <w:trPr>
          <w:trHeight w:val="384"/>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4" w:firstLine="0"/>
              <w:jc w:val="center"/>
            </w:pPr>
            <w:r>
              <w:t xml:space="preserve">500,001 – 3,000,000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8.000%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1.25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62" w:right="0" w:firstLine="0"/>
              <w:jc w:val="left"/>
            </w:pPr>
            <w:r>
              <w:t xml:space="preserve">10.000% </w:t>
            </w:r>
          </w:p>
        </w:tc>
      </w:tr>
      <w:tr w:rsidR="00CA157D">
        <w:trPr>
          <w:trHeight w:val="382"/>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3,000,001 – 5,000,000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7.000%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1.50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62" w:right="0" w:firstLine="0"/>
              <w:jc w:val="left"/>
            </w:pPr>
            <w:r>
              <w:t xml:space="preserve">10.500% </w:t>
            </w:r>
          </w:p>
        </w:tc>
      </w:tr>
      <w:tr w:rsidR="00CA157D">
        <w:trPr>
          <w:trHeight w:val="384"/>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4" w:firstLine="0"/>
              <w:jc w:val="center"/>
            </w:pPr>
            <w:r>
              <w:t xml:space="preserve">5,000,001 – 10,000,000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6.000%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1.50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1" w:firstLine="0"/>
              <w:jc w:val="center"/>
            </w:pPr>
            <w:r>
              <w:t xml:space="preserve">9.000% </w:t>
            </w:r>
          </w:p>
        </w:tc>
      </w:tr>
      <w:tr w:rsidR="00CA157D">
        <w:trPr>
          <w:trHeight w:val="382"/>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1" w:firstLine="0"/>
              <w:jc w:val="center"/>
            </w:pPr>
            <w:r>
              <w:t xml:space="preserve">10,000,001 – 20,000,000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5.500%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1.25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1" w:firstLine="0"/>
              <w:jc w:val="center"/>
            </w:pPr>
            <w:r>
              <w:t xml:space="preserve">6.875% </w:t>
            </w:r>
          </w:p>
        </w:tc>
      </w:tr>
      <w:tr w:rsidR="00CA157D">
        <w:trPr>
          <w:trHeight w:val="384"/>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1" w:firstLine="0"/>
              <w:jc w:val="center"/>
            </w:pPr>
            <w:r>
              <w:t xml:space="preserve">20,000,001 – 30,000,000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4.000%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1.00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0" w:firstLine="0"/>
              <w:jc w:val="center"/>
            </w:pPr>
            <w:r>
              <w:t xml:space="preserve">4.000% </w:t>
            </w:r>
          </w:p>
        </w:tc>
      </w:tr>
      <w:tr w:rsidR="00CA157D">
        <w:trPr>
          <w:trHeight w:val="383"/>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1" w:firstLine="0"/>
              <w:jc w:val="center"/>
            </w:pPr>
            <w:r>
              <w:t xml:space="preserve">30,000,001 – 50,000,000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2" w:firstLine="0"/>
              <w:jc w:val="center"/>
            </w:pPr>
            <w:r>
              <w:t xml:space="preserve">3.000%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0.75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0" w:firstLine="0"/>
              <w:jc w:val="center"/>
            </w:pPr>
            <w:r>
              <w:t xml:space="preserve">2.250% </w:t>
            </w:r>
          </w:p>
        </w:tc>
      </w:tr>
      <w:tr w:rsidR="00CA157D">
        <w:trPr>
          <w:trHeight w:val="383"/>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7" w:firstLine="0"/>
              <w:jc w:val="center"/>
            </w:pPr>
            <w:r>
              <w:t xml:space="preserve">&gt;50,000,001 – 75,000,000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2" w:firstLine="0"/>
              <w:jc w:val="center"/>
            </w:pPr>
            <w:r>
              <w:t xml:space="preserve">2.000%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0.50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1" w:firstLine="0"/>
              <w:jc w:val="center"/>
            </w:pPr>
            <w:r>
              <w:t xml:space="preserve">1.000% </w:t>
            </w:r>
          </w:p>
        </w:tc>
      </w:tr>
      <w:tr w:rsidR="00CA157D">
        <w:trPr>
          <w:trHeight w:val="383"/>
        </w:trPr>
        <w:tc>
          <w:tcPr>
            <w:tcW w:w="338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&gt;75,000,001 </w:t>
            </w:r>
          </w:p>
        </w:tc>
        <w:tc>
          <w:tcPr>
            <w:tcW w:w="1261"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3" w:firstLine="0"/>
              <w:jc w:val="center"/>
            </w:pPr>
            <w:r>
              <w:t xml:space="preserve">1.000%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102" w:firstLine="0"/>
              <w:jc w:val="center"/>
            </w:pPr>
            <w:r>
              <w:t xml:space="preserve">0.50 </w:t>
            </w:r>
          </w:p>
        </w:tc>
        <w:tc>
          <w:tcPr>
            <w:tcW w:w="1205" w:type="dxa"/>
            <w:tcBorders>
              <w:top w:val="single" w:sz="4" w:space="0" w:color="000000"/>
              <w:left w:val="single" w:sz="4" w:space="0" w:color="000000"/>
              <w:bottom w:val="single" w:sz="4" w:space="0" w:color="000000"/>
              <w:right w:val="single" w:sz="4" w:space="0" w:color="000000"/>
            </w:tcBorders>
            <w:shd w:val="clear" w:color="auto" w:fill="FFE699"/>
            <w:vAlign w:val="bottom"/>
          </w:tcPr>
          <w:p w:rsidR="00CA157D" w:rsidRDefault="00935285">
            <w:pPr>
              <w:spacing w:after="0" w:line="259" w:lineRule="auto"/>
              <w:ind w:left="0" w:right="101" w:firstLine="0"/>
              <w:jc w:val="center"/>
            </w:pPr>
            <w:r>
              <w:t xml:space="preserve">0.500% </w:t>
            </w:r>
          </w:p>
        </w:tc>
      </w:tr>
      <w:tr w:rsidR="00CA157D">
        <w:trPr>
          <w:trHeight w:val="637"/>
        </w:trPr>
        <w:tc>
          <w:tcPr>
            <w:tcW w:w="3380"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104" w:firstLine="0"/>
              <w:jc w:val="right"/>
            </w:pPr>
            <w:r>
              <w:rPr>
                <w:b/>
              </w:rPr>
              <w:t xml:space="preserve">Average Weighted Fee Percentage  </w:t>
            </w:r>
          </w:p>
        </w:tc>
        <w:tc>
          <w:tcPr>
            <w:tcW w:w="2561" w:type="dxa"/>
            <w:gridSpan w:val="2"/>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43" w:firstLine="0"/>
              <w:jc w:val="center"/>
            </w:pPr>
            <w:r>
              <w:rPr>
                <w:b/>
              </w:rPr>
              <w:t xml:space="preserve">  </w:t>
            </w:r>
          </w:p>
        </w:tc>
        <w:tc>
          <w:tcPr>
            <w:tcW w:w="1205"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101" w:firstLine="0"/>
              <w:jc w:val="center"/>
            </w:pPr>
            <w:r>
              <w:rPr>
                <w:b/>
              </w:rPr>
              <w:t xml:space="preserve">5.653% </w:t>
            </w:r>
          </w:p>
        </w:tc>
      </w:tr>
    </w:tbl>
    <w:p w:rsidR="00CA157D" w:rsidRDefault="00935285">
      <w:pPr>
        <w:spacing w:after="0" w:line="259" w:lineRule="auto"/>
        <w:ind w:left="1224" w:right="0" w:firstLine="0"/>
        <w:jc w:val="left"/>
      </w:pPr>
      <w:r>
        <w:t xml:space="preserve"> </w:t>
      </w:r>
    </w:p>
    <w:p w:rsidR="00CA157D" w:rsidRDefault="00935285">
      <w:pPr>
        <w:numPr>
          <w:ilvl w:val="2"/>
          <w:numId w:val="3"/>
        </w:numPr>
        <w:ind w:right="50" w:hanging="698"/>
      </w:pPr>
      <w:r>
        <w:t xml:space="preserve">In </w:t>
      </w:r>
      <w:r>
        <w:rPr>
          <w:b/>
        </w:rPr>
        <w:t>Step 2,</w:t>
      </w:r>
      <w:r>
        <w:t xml:space="preserve"> </w:t>
      </w:r>
      <w:r>
        <w:rPr>
          <w:b/>
        </w:rPr>
        <w:t xml:space="preserve">Part 5. % Project Fees Summary </w:t>
      </w:r>
      <w:r>
        <w:t>worksheet</w:t>
      </w:r>
      <w:r>
        <w:rPr>
          <w:b/>
        </w:rPr>
        <w:t>:</w:t>
      </w:r>
      <w:r>
        <w:t xml:space="preserve"> </w:t>
      </w:r>
      <w:r>
        <w:rPr>
          <w:b/>
        </w:rPr>
        <w:t xml:space="preserve">Table 2 – Complexity Adjusted Average Percentage Fees </w:t>
      </w:r>
      <w:r>
        <w:t>is automatically populated with</w:t>
      </w:r>
      <w:r>
        <w:rPr>
          <w:b/>
        </w:rPr>
        <w:t xml:space="preserve"> </w:t>
      </w:r>
      <w:r>
        <w:t xml:space="preserve">the Potential Provider’s ‘Average Weighted Fee Percentage’ and the adjustment </w:t>
      </w:r>
      <w:r>
        <w:lastRenderedPageBreak/>
        <w:t xml:space="preserve">for “Project Complexity” for each Procurement Type. These figures are taken from </w:t>
      </w:r>
      <w:r>
        <w:rPr>
          <w:b/>
        </w:rPr>
        <w:t>Part 1. Percentage Project Fees</w:t>
      </w:r>
      <w:r>
        <w:t xml:space="preserve"> worksheet, and are then used to calculate the Complexity Adjusted Average Fee. The fees as calculated above are automatically transferred into the MEDIUM complexity cell.  The adjustments entered by the Potential Provider for LOW and HIGH complexity, are multiplied by the ‘Average Weighted Fee Percentage’ to calculate an ‘Adjusted Average Fee’.  This methodology is replicated across all Procurement Types.  This is illustrated in the table below: </w:t>
      </w:r>
    </w:p>
    <w:p w:rsidR="00CA157D" w:rsidRDefault="00935285">
      <w:pPr>
        <w:spacing w:after="0" w:line="259" w:lineRule="auto"/>
        <w:ind w:left="1418" w:right="0" w:firstLine="0"/>
        <w:jc w:val="left"/>
      </w:pPr>
      <w:r>
        <w:t xml:space="preserve"> </w:t>
      </w:r>
    </w:p>
    <w:tbl>
      <w:tblPr>
        <w:tblStyle w:val="TableGrid"/>
        <w:tblW w:w="7091" w:type="dxa"/>
        <w:tblInd w:w="853" w:type="dxa"/>
        <w:tblCellMar>
          <w:top w:w="7" w:type="dxa"/>
          <w:left w:w="107" w:type="dxa"/>
          <w:right w:w="108" w:type="dxa"/>
        </w:tblCellMar>
        <w:tblLook w:val="04A0" w:firstRow="1" w:lastRow="0" w:firstColumn="1" w:lastColumn="0" w:noHBand="0" w:noVBand="1"/>
      </w:tblPr>
      <w:tblGrid>
        <w:gridCol w:w="3388"/>
        <w:gridCol w:w="1426"/>
        <w:gridCol w:w="2277"/>
      </w:tblGrid>
      <w:tr w:rsidR="00CA157D">
        <w:trPr>
          <w:trHeight w:val="647"/>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0" w:firstLine="0"/>
              <w:jc w:val="left"/>
            </w:pPr>
            <w:r>
              <w:rPr>
                <w:b/>
              </w:rPr>
              <w:t xml:space="preserve">Table 2 – Complexity Adjusted Average Percentage Fees </w:t>
            </w:r>
          </w:p>
        </w:tc>
      </w:tr>
      <w:tr w:rsidR="00CA157D">
        <w:trPr>
          <w:trHeight w:val="820"/>
        </w:trPr>
        <w:tc>
          <w:tcPr>
            <w:tcW w:w="3388"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4" w:firstLine="0"/>
              <w:jc w:val="center"/>
            </w:pPr>
            <w:r>
              <w:rPr>
                <w:b/>
                <w:sz w:val="20"/>
              </w:rPr>
              <w:t xml:space="preserve">Project Complexity </w:t>
            </w:r>
          </w:p>
        </w:tc>
        <w:tc>
          <w:tcPr>
            <w:tcW w:w="1426"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2" w:firstLine="0"/>
              <w:jc w:val="center"/>
            </w:pPr>
            <w:r>
              <w:rPr>
                <w:b/>
                <w:sz w:val="20"/>
              </w:rPr>
              <w:t xml:space="preserve">Potential </w:t>
            </w:r>
          </w:p>
          <w:p w:rsidR="00CA157D" w:rsidRDefault="00935285">
            <w:pPr>
              <w:spacing w:after="0" w:line="259" w:lineRule="auto"/>
              <w:ind w:left="0" w:right="1" w:firstLine="0"/>
              <w:jc w:val="center"/>
            </w:pPr>
            <w:r>
              <w:rPr>
                <w:b/>
                <w:sz w:val="20"/>
              </w:rPr>
              <w:t xml:space="preserve">Provider </w:t>
            </w:r>
          </w:p>
          <w:p w:rsidR="00CA157D" w:rsidRDefault="00935285">
            <w:pPr>
              <w:spacing w:after="0" w:line="259" w:lineRule="auto"/>
              <w:ind w:left="57" w:right="0" w:firstLine="0"/>
              <w:jc w:val="left"/>
            </w:pPr>
            <w:r>
              <w:rPr>
                <w:b/>
                <w:sz w:val="20"/>
              </w:rPr>
              <w:t xml:space="preserve">Adjustment </w:t>
            </w:r>
          </w:p>
        </w:tc>
        <w:tc>
          <w:tcPr>
            <w:tcW w:w="2277"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9" w:right="0" w:firstLine="0"/>
              <w:jc w:val="center"/>
            </w:pPr>
            <w:r>
              <w:rPr>
                <w:b/>
                <w:sz w:val="20"/>
              </w:rPr>
              <w:t xml:space="preserve">Adjusted Average Fee </w:t>
            </w:r>
          </w:p>
        </w:tc>
      </w:tr>
      <w:tr w:rsidR="00CA157D">
        <w:trPr>
          <w:trHeight w:val="383"/>
        </w:trPr>
        <w:tc>
          <w:tcPr>
            <w:tcW w:w="338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center"/>
            </w:pPr>
            <w:r>
              <w:t xml:space="preserve">Low </w:t>
            </w:r>
          </w:p>
        </w:tc>
        <w:tc>
          <w:tcPr>
            <w:tcW w:w="142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center"/>
            </w:pPr>
            <w:r>
              <w:t xml:space="preserve">-5.000% </w:t>
            </w:r>
          </w:p>
        </w:tc>
        <w:tc>
          <w:tcPr>
            <w:tcW w:w="227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4" w:right="0" w:firstLine="0"/>
              <w:jc w:val="center"/>
            </w:pPr>
            <w:r>
              <w:rPr>
                <w:b/>
              </w:rPr>
              <w:t xml:space="preserve">5.370% </w:t>
            </w:r>
          </w:p>
        </w:tc>
      </w:tr>
      <w:tr w:rsidR="00CA157D">
        <w:trPr>
          <w:trHeight w:val="384"/>
        </w:trPr>
        <w:tc>
          <w:tcPr>
            <w:tcW w:w="338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1" w:firstLine="0"/>
              <w:jc w:val="center"/>
            </w:pPr>
            <w:r>
              <w:t xml:space="preserve">Medium </w:t>
            </w:r>
          </w:p>
        </w:tc>
        <w:tc>
          <w:tcPr>
            <w:tcW w:w="142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1" w:right="0" w:firstLine="0"/>
              <w:jc w:val="center"/>
            </w:pPr>
            <w:r>
              <w:t xml:space="preserve">0.000% </w:t>
            </w:r>
          </w:p>
        </w:tc>
        <w:tc>
          <w:tcPr>
            <w:tcW w:w="227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4" w:right="0" w:firstLine="0"/>
              <w:jc w:val="center"/>
            </w:pPr>
            <w:r>
              <w:rPr>
                <w:b/>
              </w:rPr>
              <w:t xml:space="preserve">5.653% </w:t>
            </w:r>
          </w:p>
        </w:tc>
      </w:tr>
      <w:tr w:rsidR="00CA157D">
        <w:trPr>
          <w:trHeight w:val="382"/>
        </w:trPr>
        <w:tc>
          <w:tcPr>
            <w:tcW w:w="338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3" w:firstLine="0"/>
              <w:jc w:val="center"/>
            </w:pPr>
            <w:r>
              <w:t xml:space="preserve">High </w:t>
            </w:r>
          </w:p>
        </w:tc>
        <w:tc>
          <w:tcPr>
            <w:tcW w:w="142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1" w:right="0" w:firstLine="0"/>
              <w:jc w:val="center"/>
            </w:pPr>
            <w:r>
              <w:t xml:space="preserve">5.000% </w:t>
            </w:r>
          </w:p>
        </w:tc>
        <w:tc>
          <w:tcPr>
            <w:tcW w:w="227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4" w:right="0" w:firstLine="0"/>
              <w:jc w:val="center"/>
            </w:pPr>
            <w:r>
              <w:rPr>
                <w:b/>
              </w:rPr>
              <w:t xml:space="preserve">5.935% </w:t>
            </w:r>
          </w:p>
        </w:tc>
      </w:tr>
    </w:tbl>
    <w:p w:rsidR="00CA157D" w:rsidRDefault="00935285">
      <w:pPr>
        <w:numPr>
          <w:ilvl w:val="2"/>
          <w:numId w:val="3"/>
        </w:numPr>
        <w:spacing w:after="271"/>
        <w:ind w:right="50" w:hanging="698"/>
      </w:pPr>
      <w:r>
        <w:t xml:space="preserve">In </w:t>
      </w:r>
      <w:r>
        <w:rPr>
          <w:b/>
        </w:rPr>
        <w:t>Step 3</w:t>
      </w:r>
      <w:r>
        <w:t xml:space="preserve"> the Potential Providers’ ‘Regional Adjustment’ is applied to the ‘Complexity Adjusted Average Percentage Fees’, and this value is automatically multiplied by the ‘Region Weighting’. The product of this calculation results in the ‘Region Adjusted Average Fee’ for each Region in </w:t>
      </w:r>
      <w:r>
        <w:rPr>
          <w:b/>
        </w:rPr>
        <w:t xml:space="preserve">Part 5. % Project Fees Percentage Summary </w:t>
      </w:r>
      <w:r>
        <w:t>worksheet</w:t>
      </w:r>
      <w:r>
        <w:rPr>
          <w:b/>
        </w:rPr>
        <w:t>:</w:t>
      </w:r>
      <w:r>
        <w:t xml:space="preserve"> </w:t>
      </w:r>
      <w:r>
        <w:rPr>
          <w:b/>
        </w:rPr>
        <w:t>Table 3 – Regionally Adjusted Average Percentage Fees</w:t>
      </w:r>
      <w:r>
        <w:t xml:space="preserve">.  This methodology is replicated across all Procurement Types.  This is illustrated in the table below: </w:t>
      </w:r>
    </w:p>
    <w:p w:rsidR="00CA157D" w:rsidRDefault="00935285">
      <w:pPr>
        <w:spacing w:after="0" w:line="259" w:lineRule="auto"/>
        <w:ind w:left="1418" w:right="0" w:firstLine="0"/>
        <w:jc w:val="left"/>
      </w:pPr>
      <w:r>
        <w:t xml:space="preserve"> </w:t>
      </w:r>
    </w:p>
    <w:tbl>
      <w:tblPr>
        <w:tblStyle w:val="TableGrid"/>
        <w:tblW w:w="7172" w:type="dxa"/>
        <w:tblInd w:w="854" w:type="dxa"/>
        <w:tblCellMar>
          <w:top w:w="4" w:type="dxa"/>
          <w:left w:w="106" w:type="dxa"/>
          <w:bottom w:w="6" w:type="dxa"/>
          <w:right w:w="45" w:type="dxa"/>
        </w:tblCellMar>
        <w:tblLook w:val="04A0" w:firstRow="1" w:lastRow="0" w:firstColumn="1" w:lastColumn="0" w:noHBand="0" w:noVBand="1"/>
      </w:tblPr>
      <w:tblGrid>
        <w:gridCol w:w="1492"/>
        <w:gridCol w:w="1427"/>
        <w:gridCol w:w="1278"/>
        <w:gridCol w:w="963"/>
        <w:gridCol w:w="1049"/>
        <w:gridCol w:w="963"/>
      </w:tblGrid>
      <w:tr w:rsidR="00CA157D">
        <w:trPr>
          <w:trHeight w:val="271"/>
        </w:trPr>
        <w:tc>
          <w:tcPr>
            <w:tcW w:w="7172" w:type="dxa"/>
            <w:gridSpan w:val="6"/>
            <w:tcBorders>
              <w:top w:val="single" w:sz="8" w:space="0" w:color="000000"/>
              <w:left w:val="single" w:sz="8" w:space="0" w:color="000000"/>
              <w:bottom w:val="single" w:sz="8" w:space="0" w:color="000000"/>
              <w:right w:val="single" w:sz="4" w:space="0" w:color="000000"/>
            </w:tcBorders>
            <w:shd w:val="clear" w:color="auto" w:fill="CCFFCC"/>
          </w:tcPr>
          <w:p w:rsidR="00CA157D" w:rsidRDefault="00935285">
            <w:pPr>
              <w:spacing w:after="0" w:line="259" w:lineRule="auto"/>
              <w:ind w:left="0" w:right="0" w:firstLine="0"/>
              <w:jc w:val="left"/>
            </w:pPr>
            <w:r>
              <w:rPr>
                <w:b/>
              </w:rPr>
              <w:t xml:space="preserve">Table 3 – Regionally Adjusted Average Percentage Fees. </w:t>
            </w:r>
          </w:p>
        </w:tc>
      </w:tr>
      <w:tr w:rsidR="00CA157D">
        <w:trPr>
          <w:trHeight w:val="526"/>
        </w:trPr>
        <w:tc>
          <w:tcPr>
            <w:tcW w:w="1492" w:type="dxa"/>
            <w:vMerge w:val="restart"/>
            <w:tcBorders>
              <w:top w:val="single" w:sz="8" w:space="0" w:color="000000"/>
              <w:left w:val="single" w:sz="8"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61" w:firstLine="0"/>
              <w:jc w:val="center"/>
            </w:pPr>
            <w:r>
              <w:rPr>
                <w:b/>
              </w:rPr>
              <w:t xml:space="preserve">Region  </w:t>
            </w:r>
          </w:p>
        </w:tc>
        <w:tc>
          <w:tcPr>
            <w:tcW w:w="1427" w:type="dxa"/>
            <w:vMerge w:val="restart"/>
            <w:tcBorders>
              <w:top w:val="single" w:sz="8"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64" w:firstLine="0"/>
              <w:jc w:val="center"/>
            </w:pPr>
            <w:r>
              <w:rPr>
                <w:b/>
              </w:rPr>
              <w:t xml:space="preserve">Regional </w:t>
            </w:r>
          </w:p>
          <w:p w:rsidR="00CA157D" w:rsidRDefault="00935285">
            <w:pPr>
              <w:spacing w:after="0" w:line="259" w:lineRule="auto"/>
              <w:ind w:left="13" w:right="0" w:hanging="13"/>
              <w:jc w:val="center"/>
            </w:pPr>
            <w:r>
              <w:rPr>
                <w:b/>
              </w:rPr>
              <w:t xml:space="preserve">Adjustment (Brought forward) </w:t>
            </w:r>
          </w:p>
        </w:tc>
        <w:tc>
          <w:tcPr>
            <w:tcW w:w="1278" w:type="dxa"/>
            <w:vMerge w:val="restart"/>
            <w:tcBorders>
              <w:top w:val="single" w:sz="8"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center"/>
            </w:pPr>
            <w:r>
              <w:rPr>
                <w:b/>
              </w:rPr>
              <w:t xml:space="preserve">Region Weighting </w:t>
            </w:r>
          </w:p>
        </w:tc>
        <w:tc>
          <w:tcPr>
            <w:tcW w:w="2975" w:type="dxa"/>
            <w:gridSpan w:val="3"/>
            <w:tcBorders>
              <w:top w:val="single" w:sz="8" w:space="0" w:color="000000"/>
              <w:left w:val="single" w:sz="4" w:space="0" w:color="000000"/>
              <w:bottom w:val="single" w:sz="4" w:space="0" w:color="CCFFCC"/>
              <w:right w:val="single" w:sz="4" w:space="0" w:color="000000"/>
            </w:tcBorders>
            <w:shd w:val="clear" w:color="auto" w:fill="CCFFCC"/>
          </w:tcPr>
          <w:p w:rsidR="00CA157D" w:rsidRDefault="00935285">
            <w:pPr>
              <w:spacing w:after="0" w:line="259" w:lineRule="auto"/>
              <w:ind w:left="42" w:right="0" w:firstLine="0"/>
              <w:jc w:val="left"/>
            </w:pPr>
            <w:r>
              <w:rPr>
                <w:b/>
              </w:rPr>
              <w:t xml:space="preserve">Region Adjusted Average </w:t>
            </w:r>
          </w:p>
          <w:p w:rsidR="00CA157D" w:rsidRDefault="00935285">
            <w:pPr>
              <w:spacing w:after="0" w:line="259" w:lineRule="auto"/>
              <w:ind w:left="0" w:right="60" w:firstLine="0"/>
              <w:jc w:val="center"/>
            </w:pPr>
            <w:r>
              <w:rPr>
                <w:b/>
              </w:rPr>
              <w:t xml:space="preserve">Fee </w:t>
            </w:r>
          </w:p>
        </w:tc>
      </w:tr>
      <w:tr w:rsidR="00CA157D">
        <w:trPr>
          <w:trHeight w:val="502"/>
        </w:trPr>
        <w:tc>
          <w:tcPr>
            <w:tcW w:w="0" w:type="auto"/>
            <w:vMerge/>
            <w:tcBorders>
              <w:top w:val="nil"/>
              <w:left w:val="single" w:sz="8" w:space="0" w:color="000000"/>
              <w:bottom w:val="single" w:sz="4" w:space="0" w:color="000000"/>
              <w:right w:val="single" w:sz="4" w:space="0" w:color="000000"/>
            </w:tcBorders>
            <w:vAlign w:val="center"/>
          </w:tcPr>
          <w:p w:rsidR="00CA157D" w:rsidRDefault="00CA157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A157D" w:rsidRDefault="00CA157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CA157D" w:rsidRDefault="00CA157D">
            <w:pPr>
              <w:spacing w:after="160" w:line="259" w:lineRule="auto"/>
              <w:ind w:left="0" w:right="0" w:firstLine="0"/>
              <w:jc w:val="left"/>
            </w:pPr>
          </w:p>
        </w:tc>
        <w:tc>
          <w:tcPr>
            <w:tcW w:w="963" w:type="dxa"/>
            <w:tcBorders>
              <w:top w:val="single" w:sz="4" w:space="0" w:color="CCFFCC"/>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58" w:firstLine="0"/>
              <w:jc w:val="center"/>
            </w:pPr>
            <w:r>
              <w:rPr>
                <w:b/>
              </w:rPr>
              <w:t xml:space="preserve">Low </w:t>
            </w:r>
          </w:p>
        </w:tc>
        <w:tc>
          <w:tcPr>
            <w:tcW w:w="1049" w:type="dxa"/>
            <w:tcBorders>
              <w:top w:val="single" w:sz="4" w:space="0" w:color="CCFFCC"/>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4" w:right="0" w:firstLine="0"/>
            </w:pPr>
            <w:r>
              <w:rPr>
                <w:b/>
              </w:rPr>
              <w:t xml:space="preserve">Medium </w:t>
            </w:r>
          </w:p>
        </w:tc>
        <w:tc>
          <w:tcPr>
            <w:tcW w:w="963" w:type="dxa"/>
            <w:tcBorders>
              <w:top w:val="single" w:sz="4" w:space="0" w:color="CCFFCC"/>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60" w:firstLine="0"/>
              <w:jc w:val="center"/>
            </w:pPr>
            <w:r>
              <w:rPr>
                <w:b/>
              </w:rPr>
              <w:t xml:space="preserve">High </w:t>
            </w:r>
          </w:p>
        </w:tc>
      </w:tr>
      <w:tr w:rsidR="00CA157D">
        <w:trPr>
          <w:trHeight w:val="516"/>
        </w:trPr>
        <w:tc>
          <w:tcPr>
            <w:tcW w:w="1492"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1- Scotland </w:t>
            </w:r>
          </w:p>
        </w:tc>
        <w:tc>
          <w:tcPr>
            <w:tcW w:w="1427"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3" w:firstLine="0"/>
              <w:jc w:val="right"/>
            </w:pPr>
            <w:r>
              <w:t xml:space="preserve">4.000%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59" w:firstLine="0"/>
              <w:jc w:val="center"/>
            </w:pPr>
            <w:r>
              <w:rPr>
                <w:b/>
              </w:rPr>
              <w:t xml:space="preserve">1.00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5.585% </w:t>
            </w:r>
          </w:p>
        </w:tc>
        <w:tc>
          <w:tcPr>
            <w:tcW w:w="1049"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7" w:right="0" w:firstLine="0"/>
              <w:jc w:val="left"/>
            </w:pPr>
            <w:r>
              <w:t xml:space="preserve">5.879%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6.173% </w:t>
            </w:r>
          </w:p>
        </w:tc>
      </w:tr>
      <w:tr w:rsidR="00CA157D">
        <w:trPr>
          <w:trHeight w:val="516"/>
        </w:trPr>
        <w:tc>
          <w:tcPr>
            <w:tcW w:w="1492"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2 - Wales </w:t>
            </w:r>
          </w:p>
        </w:tc>
        <w:tc>
          <w:tcPr>
            <w:tcW w:w="1427"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3" w:firstLine="0"/>
              <w:jc w:val="right"/>
            </w:pPr>
            <w:r>
              <w:t xml:space="preserve">3.000%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59" w:firstLine="0"/>
              <w:jc w:val="center"/>
            </w:pPr>
            <w:r>
              <w:rPr>
                <w:b/>
              </w:rPr>
              <w:t xml:space="preserve">0.75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4.148% </w:t>
            </w:r>
          </w:p>
        </w:tc>
        <w:tc>
          <w:tcPr>
            <w:tcW w:w="1049"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7" w:right="0" w:firstLine="0"/>
              <w:jc w:val="left"/>
            </w:pPr>
            <w:r>
              <w:t xml:space="preserve">4.367%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4.585% </w:t>
            </w:r>
          </w:p>
        </w:tc>
      </w:tr>
      <w:tr w:rsidR="00CA157D">
        <w:trPr>
          <w:trHeight w:val="768"/>
        </w:trPr>
        <w:tc>
          <w:tcPr>
            <w:tcW w:w="1492"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3 - </w:t>
            </w:r>
          </w:p>
          <w:p w:rsidR="00CA157D" w:rsidRDefault="00935285">
            <w:pPr>
              <w:spacing w:after="0" w:line="259" w:lineRule="auto"/>
              <w:ind w:left="0" w:right="0" w:firstLine="0"/>
              <w:jc w:val="left"/>
            </w:pPr>
            <w:r>
              <w:t xml:space="preserve">Northern </w:t>
            </w:r>
          </w:p>
          <w:p w:rsidR="00CA157D" w:rsidRDefault="00935285">
            <w:pPr>
              <w:spacing w:after="0" w:line="259" w:lineRule="auto"/>
              <w:ind w:left="0" w:right="0" w:firstLine="0"/>
              <w:jc w:val="left"/>
            </w:pPr>
            <w:r>
              <w:t xml:space="preserve">Ireland </w:t>
            </w:r>
          </w:p>
        </w:tc>
        <w:tc>
          <w:tcPr>
            <w:tcW w:w="1427"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3" w:firstLine="0"/>
              <w:jc w:val="right"/>
            </w:pPr>
            <w:r>
              <w:t xml:space="preserve">4.000%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59" w:firstLine="0"/>
              <w:jc w:val="center"/>
            </w:pPr>
            <w:r>
              <w:rPr>
                <w:b/>
              </w:rPr>
              <w:t xml:space="preserve">0.75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2.792% </w:t>
            </w:r>
          </w:p>
        </w:tc>
        <w:tc>
          <w:tcPr>
            <w:tcW w:w="1049"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7" w:right="0" w:firstLine="0"/>
              <w:jc w:val="left"/>
            </w:pPr>
            <w:r>
              <w:t xml:space="preserve">2.939%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3.086% </w:t>
            </w:r>
          </w:p>
        </w:tc>
      </w:tr>
      <w:tr w:rsidR="00CA157D">
        <w:trPr>
          <w:trHeight w:val="770"/>
        </w:trPr>
        <w:tc>
          <w:tcPr>
            <w:tcW w:w="1492"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4 - </w:t>
            </w:r>
          </w:p>
          <w:p w:rsidR="00CA157D" w:rsidRDefault="00935285">
            <w:pPr>
              <w:spacing w:after="0" w:line="259" w:lineRule="auto"/>
              <w:ind w:left="0" w:right="0" w:firstLine="0"/>
              <w:jc w:val="left"/>
            </w:pPr>
            <w:r>
              <w:t xml:space="preserve">North </w:t>
            </w:r>
          </w:p>
          <w:p w:rsidR="00CA157D" w:rsidRDefault="00935285">
            <w:pPr>
              <w:spacing w:after="0" w:line="259" w:lineRule="auto"/>
              <w:ind w:left="0" w:right="0" w:firstLine="0"/>
              <w:jc w:val="left"/>
            </w:pPr>
            <w:r>
              <w:t xml:space="preserve">Region </w:t>
            </w:r>
          </w:p>
        </w:tc>
        <w:tc>
          <w:tcPr>
            <w:tcW w:w="1427"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3" w:firstLine="0"/>
              <w:jc w:val="right"/>
            </w:pPr>
            <w:r>
              <w:t xml:space="preserve">3.000%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59" w:firstLine="0"/>
              <w:jc w:val="center"/>
            </w:pPr>
            <w:r>
              <w:rPr>
                <w:b/>
              </w:rPr>
              <w:t xml:space="preserve">1.00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5.531% </w:t>
            </w:r>
          </w:p>
        </w:tc>
        <w:tc>
          <w:tcPr>
            <w:tcW w:w="1049"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7" w:right="0" w:firstLine="0"/>
              <w:jc w:val="left"/>
            </w:pPr>
            <w:r>
              <w:t xml:space="preserve">5.822%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6.113% </w:t>
            </w:r>
          </w:p>
        </w:tc>
      </w:tr>
      <w:tr w:rsidR="00CA157D">
        <w:trPr>
          <w:trHeight w:val="768"/>
        </w:trPr>
        <w:tc>
          <w:tcPr>
            <w:tcW w:w="1492"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38" w:lineRule="auto"/>
              <w:ind w:left="0" w:right="0" w:firstLine="0"/>
              <w:jc w:val="left"/>
            </w:pPr>
            <w:r>
              <w:t xml:space="preserve">Region 5a - South </w:t>
            </w:r>
          </w:p>
          <w:p w:rsidR="00CA157D" w:rsidRDefault="00935285">
            <w:pPr>
              <w:spacing w:after="0" w:line="259" w:lineRule="auto"/>
              <w:ind w:left="0" w:right="0" w:firstLine="0"/>
              <w:jc w:val="left"/>
            </w:pPr>
            <w:r>
              <w:t xml:space="preserve">Region </w:t>
            </w:r>
          </w:p>
        </w:tc>
        <w:tc>
          <w:tcPr>
            <w:tcW w:w="1427"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3" w:firstLine="0"/>
              <w:jc w:val="right"/>
            </w:pPr>
            <w:r>
              <w:t xml:space="preserve">2.000%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59" w:firstLine="0"/>
              <w:jc w:val="center"/>
            </w:pPr>
            <w:r>
              <w:rPr>
                <w:b/>
              </w:rPr>
              <w:t xml:space="preserve">1.25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6.847% </w:t>
            </w:r>
          </w:p>
        </w:tc>
        <w:tc>
          <w:tcPr>
            <w:tcW w:w="1049"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7" w:right="0" w:firstLine="0"/>
              <w:jc w:val="left"/>
            </w:pPr>
            <w:r>
              <w:t xml:space="preserve">7.207% </w:t>
            </w:r>
          </w:p>
        </w:tc>
        <w:tc>
          <w:tcPr>
            <w:tcW w:w="96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4" w:right="0" w:firstLine="0"/>
            </w:pPr>
            <w:r>
              <w:t xml:space="preserve">7.568% </w:t>
            </w:r>
          </w:p>
        </w:tc>
      </w:tr>
      <w:tr w:rsidR="00CA157D">
        <w:trPr>
          <w:trHeight w:val="767"/>
        </w:trPr>
        <w:tc>
          <w:tcPr>
            <w:tcW w:w="1492" w:type="dxa"/>
            <w:tcBorders>
              <w:top w:val="nil"/>
              <w:left w:val="single" w:sz="8" w:space="0" w:color="000000"/>
              <w:bottom w:val="single" w:sz="8" w:space="0" w:color="000000"/>
              <w:right w:val="single" w:sz="4" w:space="0" w:color="000000"/>
            </w:tcBorders>
          </w:tcPr>
          <w:p w:rsidR="00CA157D" w:rsidRDefault="00935285">
            <w:pPr>
              <w:spacing w:after="2" w:line="239" w:lineRule="auto"/>
              <w:ind w:left="0" w:right="0" w:firstLine="0"/>
              <w:jc w:val="left"/>
            </w:pPr>
            <w:r>
              <w:t xml:space="preserve">Region 5b - South </w:t>
            </w:r>
          </w:p>
          <w:p w:rsidR="00CA157D" w:rsidRDefault="00935285">
            <w:pPr>
              <w:spacing w:after="0" w:line="259" w:lineRule="auto"/>
              <w:ind w:left="0" w:right="0" w:firstLine="0"/>
              <w:jc w:val="left"/>
            </w:pPr>
            <w:r>
              <w:t xml:space="preserve">Region </w:t>
            </w:r>
          </w:p>
        </w:tc>
        <w:tc>
          <w:tcPr>
            <w:tcW w:w="1427" w:type="dxa"/>
            <w:tcBorders>
              <w:top w:val="nil"/>
              <w:left w:val="single" w:sz="4" w:space="0" w:color="000000"/>
              <w:bottom w:val="single" w:sz="8" w:space="0" w:color="000000"/>
              <w:right w:val="single" w:sz="4" w:space="0" w:color="000000"/>
            </w:tcBorders>
            <w:vAlign w:val="bottom"/>
          </w:tcPr>
          <w:p w:rsidR="00CA157D" w:rsidRDefault="00935285">
            <w:pPr>
              <w:spacing w:after="0" w:line="259" w:lineRule="auto"/>
              <w:ind w:left="0" w:right="61" w:firstLine="0"/>
              <w:jc w:val="right"/>
            </w:pPr>
            <w:r>
              <w:t xml:space="preserve">0.000% </w:t>
            </w:r>
          </w:p>
        </w:tc>
        <w:tc>
          <w:tcPr>
            <w:tcW w:w="1278" w:type="dxa"/>
            <w:tcBorders>
              <w:top w:val="nil"/>
              <w:left w:val="single" w:sz="4" w:space="0" w:color="000000"/>
              <w:bottom w:val="single" w:sz="8" w:space="0" w:color="000000"/>
              <w:right w:val="single" w:sz="4" w:space="0" w:color="000000"/>
            </w:tcBorders>
            <w:shd w:val="clear" w:color="auto" w:fill="D9D9D9"/>
            <w:vAlign w:val="bottom"/>
          </w:tcPr>
          <w:p w:rsidR="00CA157D" w:rsidRDefault="00935285">
            <w:pPr>
              <w:spacing w:after="0" w:line="259" w:lineRule="auto"/>
              <w:ind w:left="0" w:right="60" w:firstLine="0"/>
              <w:jc w:val="center"/>
            </w:pPr>
            <w:r>
              <w:rPr>
                <w:b/>
              </w:rPr>
              <w:t xml:space="preserve">1.25 </w:t>
            </w:r>
          </w:p>
        </w:tc>
        <w:tc>
          <w:tcPr>
            <w:tcW w:w="963" w:type="dxa"/>
            <w:tcBorders>
              <w:top w:val="nil"/>
              <w:left w:val="single" w:sz="4" w:space="0" w:color="000000"/>
              <w:bottom w:val="single" w:sz="8" w:space="0" w:color="000000"/>
              <w:right w:val="single" w:sz="4" w:space="0" w:color="000000"/>
            </w:tcBorders>
            <w:vAlign w:val="bottom"/>
          </w:tcPr>
          <w:p w:rsidR="00CA157D" w:rsidRDefault="00935285">
            <w:pPr>
              <w:spacing w:after="0" w:line="259" w:lineRule="auto"/>
              <w:ind w:left="1" w:right="0" w:firstLine="0"/>
            </w:pPr>
            <w:r>
              <w:t xml:space="preserve">8.055% </w:t>
            </w:r>
          </w:p>
        </w:tc>
        <w:tc>
          <w:tcPr>
            <w:tcW w:w="1049" w:type="dxa"/>
            <w:tcBorders>
              <w:top w:val="nil"/>
              <w:left w:val="single" w:sz="4" w:space="0" w:color="000000"/>
              <w:bottom w:val="single" w:sz="8" w:space="0" w:color="000000"/>
              <w:right w:val="single" w:sz="4" w:space="0" w:color="000000"/>
            </w:tcBorders>
            <w:vAlign w:val="bottom"/>
          </w:tcPr>
          <w:p w:rsidR="00CA157D" w:rsidRDefault="00935285">
            <w:pPr>
              <w:spacing w:after="0" w:line="259" w:lineRule="auto"/>
              <w:ind w:left="43" w:right="0" w:firstLine="0"/>
              <w:jc w:val="left"/>
            </w:pPr>
            <w:r>
              <w:t xml:space="preserve">8.479% </w:t>
            </w:r>
          </w:p>
        </w:tc>
        <w:tc>
          <w:tcPr>
            <w:tcW w:w="963" w:type="dxa"/>
            <w:tcBorders>
              <w:top w:val="nil"/>
              <w:left w:val="single" w:sz="4" w:space="0" w:color="000000"/>
              <w:bottom w:val="single" w:sz="8" w:space="0" w:color="000000"/>
              <w:right w:val="single" w:sz="4" w:space="0" w:color="000000"/>
            </w:tcBorders>
            <w:vAlign w:val="bottom"/>
          </w:tcPr>
          <w:p w:rsidR="00CA157D" w:rsidRDefault="00935285">
            <w:pPr>
              <w:spacing w:after="0" w:line="259" w:lineRule="auto"/>
              <w:ind w:left="0" w:right="0" w:firstLine="0"/>
            </w:pPr>
            <w:r>
              <w:t xml:space="preserve">8.903% </w:t>
            </w:r>
          </w:p>
        </w:tc>
      </w:tr>
    </w:tbl>
    <w:p w:rsidR="00CA157D" w:rsidRDefault="00935285">
      <w:pPr>
        <w:numPr>
          <w:ilvl w:val="2"/>
          <w:numId w:val="3"/>
        </w:numPr>
        <w:ind w:right="50" w:hanging="698"/>
      </w:pPr>
      <w:r>
        <w:t xml:space="preserve">In </w:t>
      </w:r>
      <w:r>
        <w:rPr>
          <w:b/>
        </w:rPr>
        <w:t>Step 4</w:t>
      </w:r>
      <w:r>
        <w:t xml:space="preserve"> the figures in ‘Region Adjusted Average Fee’ for each of the LOW, MEDIUM or HIGH columns (</w:t>
      </w:r>
      <w:r>
        <w:rPr>
          <w:b/>
        </w:rPr>
        <w:t xml:space="preserve">Part 5. % Project Fees Percentage Summary </w:t>
      </w:r>
      <w:r>
        <w:t>worksheet</w:t>
      </w:r>
      <w:r>
        <w:rPr>
          <w:b/>
        </w:rPr>
        <w:t>:</w:t>
      </w:r>
      <w:r>
        <w:t xml:space="preserve"> </w:t>
      </w:r>
      <w:r>
        <w:rPr>
          <w:b/>
        </w:rPr>
        <w:t>Table 3 – Regionally Adjusted Average Percentage Fees</w:t>
      </w:r>
      <w:r>
        <w:t xml:space="preserve">) are averaged (a mean is applied).  These three figures are automatically transferred to the ‘Average Fee Percentage by Project Complexity’ row in </w:t>
      </w:r>
      <w:r>
        <w:rPr>
          <w:b/>
        </w:rPr>
        <w:t xml:space="preserve">Part 5. % Project Fees Percentage Summary </w:t>
      </w:r>
      <w:r>
        <w:t>worksheet</w:t>
      </w:r>
      <w:r>
        <w:rPr>
          <w:b/>
        </w:rPr>
        <w:t>:</w:t>
      </w:r>
      <w:r>
        <w:t xml:space="preserve"> </w:t>
      </w:r>
      <w:r>
        <w:rPr>
          <w:b/>
        </w:rPr>
        <w:t>Table 4 – Summary Table to ‘Tender Summary’</w:t>
      </w:r>
      <w:r>
        <w:t xml:space="preserve">. </w:t>
      </w:r>
    </w:p>
    <w:p w:rsidR="00CA157D" w:rsidRDefault="00935285">
      <w:pPr>
        <w:numPr>
          <w:ilvl w:val="2"/>
          <w:numId w:val="3"/>
        </w:numPr>
        <w:spacing w:after="10"/>
        <w:ind w:right="50" w:hanging="698"/>
      </w:pPr>
      <w:r>
        <w:t xml:space="preserve">In </w:t>
      </w:r>
      <w:r>
        <w:rPr>
          <w:b/>
        </w:rPr>
        <w:t>Step 5</w:t>
      </w:r>
      <w:r>
        <w:t xml:space="preserve"> the average (mean) of the three figures (transferred at the end of Step 4) is then calculated and the value transferred to </w:t>
      </w:r>
      <w:r>
        <w:rPr>
          <w:b/>
        </w:rPr>
        <w:t xml:space="preserve">Part 5. % Project Fees </w:t>
      </w:r>
    </w:p>
    <w:p w:rsidR="00CA157D" w:rsidRDefault="00935285">
      <w:pPr>
        <w:spacing w:after="274"/>
        <w:ind w:left="1428" w:right="50"/>
      </w:pPr>
      <w:r>
        <w:rPr>
          <w:b/>
        </w:rPr>
        <w:t xml:space="preserve">Percentage Summary </w:t>
      </w:r>
      <w:r>
        <w:t>worksheet</w:t>
      </w:r>
      <w:r>
        <w:rPr>
          <w:b/>
        </w:rPr>
        <w:t>:</w:t>
      </w:r>
      <w:r>
        <w:t xml:space="preserve"> </w:t>
      </w:r>
      <w:r>
        <w:rPr>
          <w:b/>
        </w:rPr>
        <w:t>Table 4 – Summary Table to ‘Tender Summary’</w:t>
      </w:r>
      <w:r>
        <w:t xml:space="preserve"> to result in the ‘Average Fee Percentage to Tender Summary’ figure.  This methodology is replicated across all Procurement Types.  This is illustrated in the table below: </w:t>
      </w:r>
    </w:p>
    <w:p w:rsidR="00CA157D" w:rsidRDefault="00935285">
      <w:pPr>
        <w:spacing w:after="0" w:line="259" w:lineRule="auto"/>
        <w:ind w:left="1418" w:right="0" w:firstLine="0"/>
        <w:jc w:val="left"/>
      </w:pPr>
      <w:r>
        <w:t xml:space="preserve"> </w:t>
      </w:r>
    </w:p>
    <w:tbl>
      <w:tblPr>
        <w:tblStyle w:val="TableGrid"/>
        <w:tblW w:w="7343" w:type="dxa"/>
        <w:tblInd w:w="853" w:type="dxa"/>
        <w:tblCellMar>
          <w:top w:w="7" w:type="dxa"/>
          <w:left w:w="107" w:type="dxa"/>
          <w:bottom w:w="125" w:type="dxa"/>
          <w:right w:w="45" w:type="dxa"/>
        </w:tblCellMar>
        <w:tblLook w:val="04A0" w:firstRow="1" w:lastRow="0" w:firstColumn="1" w:lastColumn="0" w:noHBand="0" w:noVBand="1"/>
      </w:tblPr>
      <w:tblGrid>
        <w:gridCol w:w="4134"/>
        <w:gridCol w:w="994"/>
        <w:gridCol w:w="1133"/>
        <w:gridCol w:w="1082"/>
      </w:tblGrid>
      <w:tr w:rsidR="00CA157D">
        <w:trPr>
          <w:trHeight w:val="380"/>
        </w:trPr>
        <w:tc>
          <w:tcPr>
            <w:tcW w:w="7343" w:type="dxa"/>
            <w:gridSpan w:val="4"/>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0" w:firstLine="0"/>
              <w:jc w:val="left"/>
            </w:pPr>
            <w:r>
              <w:rPr>
                <w:b/>
              </w:rPr>
              <w:t xml:space="preserve">Table 4 – Summary Table to “Tender Summary” </w:t>
            </w:r>
          </w:p>
        </w:tc>
      </w:tr>
      <w:tr w:rsidR="00CA157D">
        <w:trPr>
          <w:trHeight w:val="384"/>
        </w:trPr>
        <w:tc>
          <w:tcPr>
            <w:tcW w:w="4135"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65" w:firstLine="0"/>
              <w:jc w:val="center"/>
            </w:pPr>
            <w:r>
              <w:rPr>
                <w:b/>
              </w:rPr>
              <w:t xml:space="preserve">Procurement Type </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23" w:right="0" w:firstLine="0"/>
              <w:jc w:val="left"/>
            </w:pPr>
            <w:r>
              <w:rPr>
                <w:b/>
              </w:rPr>
              <w:t xml:space="preserve">Design &amp; Build Single Stage </w:t>
            </w:r>
          </w:p>
        </w:tc>
      </w:tr>
      <w:tr w:rsidR="00CA157D">
        <w:trPr>
          <w:trHeight w:val="382"/>
        </w:trPr>
        <w:tc>
          <w:tcPr>
            <w:tcW w:w="4135"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58" w:firstLine="0"/>
              <w:jc w:val="center"/>
            </w:pPr>
            <w:r>
              <w:rPr>
                <w:b/>
              </w:rPr>
              <w:t xml:space="preserve">Project Complexity </w:t>
            </w:r>
          </w:p>
        </w:tc>
        <w:tc>
          <w:tcPr>
            <w:tcW w:w="994"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64" w:firstLine="0"/>
              <w:jc w:val="center"/>
            </w:pPr>
            <w:r>
              <w:rPr>
                <w:b/>
              </w:rPr>
              <w:t xml:space="preserve">Low </w:t>
            </w:r>
          </w:p>
        </w:tc>
        <w:tc>
          <w:tcPr>
            <w:tcW w:w="1133"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44" w:right="0" w:firstLine="0"/>
              <w:jc w:val="left"/>
            </w:pPr>
            <w:r>
              <w:rPr>
                <w:b/>
              </w:rPr>
              <w:t xml:space="preserve">Medium </w:t>
            </w:r>
          </w:p>
        </w:tc>
        <w:tc>
          <w:tcPr>
            <w:tcW w:w="1082"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62" w:firstLine="0"/>
              <w:jc w:val="center"/>
            </w:pPr>
            <w:r>
              <w:rPr>
                <w:b/>
              </w:rPr>
              <w:t xml:space="preserve">High </w:t>
            </w:r>
          </w:p>
        </w:tc>
      </w:tr>
      <w:tr w:rsidR="00CA157D">
        <w:trPr>
          <w:trHeight w:val="697"/>
        </w:trPr>
        <w:tc>
          <w:tcPr>
            <w:tcW w:w="413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Average Fee Percentage by Project Complexity </w:t>
            </w:r>
          </w:p>
        </w:tc>
        <w:tc>
          <w:tcPr>
            <w:tcW w:w="994" w:type="dxa"/>
            <w:tcBorders>
              <w:top w:val="single" w:sz="4" w:space="0" w:color="000000"/>
              <w:left w:val="single" w:sz="4" w:space="0" w:color="000000"/>
              <w:bottom w:val="single" w:sz="4" w:space="0" w:color="000000"/>
              <w:right w:val="single" w:sz="4" w:space="0" w:color="000000"/>
            </w:tcBorders>
            <w:shd w:val="clear" w:color="auto" w:fill="F8CBAD"/>
            <w:vAlign w:val="bottom"/>
          </w:tcPr>
          <w:p w:rsidR="00CA157D" w:rsidRDefault="00935285">
            <w:pPr>
              <w:spacing w:after="0" w:line="259" w:lineRule="auto"/>
              <w:ind w:left="16" w:right="0" w:firstLine="0"/>
              <w:jc w:val="left"/>
            </w:pPr>
            <w:r>
              <w:t xml:space="preserve">5.493% </w:t>
            </w:r>
          </w:p>
        </w:tc>
        <w:tc>
          <w:tcPr>
            <w:tcW w:w="1133" w:type="dxa"/>
            <w:tcBorders>
              <w:top w:val="single" w:sz="4" w:space="0" w:color="000000"/>
              <w:left w:val="single" w:sz="4" w:space="0" w:color="000000"/>
              <w:bottom w:val="single" w:sz="4" w:space="0" w:color="000000"/>
              <w:right w:val="single" w:sz="4" w:space="0" w:color="000000"/>
            </w:tcBorders>
            <w:shd w:val="clear" w:color="auto" w:fill="F8CBAD"/>
            <w:vAlign w:val="bottom"/>
          </w:tcPr>
          <w:p w:rsidR="00CA157D" w:rsidRDefault="00935285">
            <w:pPr>
              <w:spacing w:after="0" w:line="259" w:lineRule="auto"/>
              <w:ind w:left="85" w:right="0" w:firstLine="0"/>
              <w:jc w:val="left"/>
            </w:pPr>
            <w:r>
              <w:t xml:space="preserve">5.782% </w:t>
            </w:r>
          </w:p>
        </w:tc>
        <w:tc>
          <w:tcPr>
            <w:tcW w:w="1082" w:type="dxa"/>
            <w:tcBorders>
              <w:top w:val="single" w:sz="4" w:space="0" w:color="000000"/>
              <w:left w:val="single" w:sz="4" w:space="0" w:color="000000"/>
              <w:bottom w:val="single" w:sz="4" w:space="0" w:color="000000"/>
              <w:right w:val="single" w:sz="4" w:space="0" w:color="000000"/>
            </w:tcBorders>
            <w:shd w:val="clear" w:color="auto" w:fill="F8CBAD"/>
            <w:vAlign w:val="bottom"/>
          </w:tcPr>
          <w:p w:rsidR="00CA157D" w:rsidRDefault="00935285">
            <w:pPr>
              <w:spacing w:after="0" w:line="259" w:lineRule="auto"/>
              <w:ind w:left="61" w:right="0" w:firstLine="0"/>
              <w:jc w:val="left"/>
            </w:pPr>
            <w:r>
              <w:t xml:space="preserve">6.071% </w:t>
            </w:r>
          </w:p>
        </w:tc>
      </w:tr>
      <w:tr w:rsidR="00CA157D">
        <w:trPr>
          <w:trHeight w:val="637"/>
        </w:trPr>
        <w:tc>
          <w:tcPr>
            <w:tcW w:w="413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Average Fee Percentage to Tender Summary </w:t>
            </w:r>
          </w:p>
        </w:tc>
        <w:tc>
          <w:tcPr>
            <w:tcW w:w="994"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2"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3" w:firstLine="0"/>
              <w:jc w:val="center"/>
            </w:pPr>
            <w:r>
              <w:rPr>
                <w:b/>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61" w:right="0" w:firstLine="0"/>
              <w:jc w:val="left"/>
            </w:pPr>
            <w:r>
              <w:rPr>
                <w:b/>
              </w:rPr>
              <w:t xml:space="preserve">5.782% </w:t>
            </w:r>
          </w:p>
        </w:tc>
      </w:tr>
      <w:tr w:rsidR="00CA157D">
        <w:trPr>
          <w:trHeight w:val="636"/>
        </w:trPr>
        <w:tc>
          <w:tcPr>
            <w:tcW w:w="413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rPr>
                <w:b/>
              </w:rPr>
              <w:t xml:space="preserve">Maximum Percentage Project Fee Score by Procurement Type  </w:t>
            </w:r>
          </w:p>
        </w:tc>
        <w:tc>
          <w:tcPr>
            <w:tcW w:w="994"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center"/>
            </w:pPr>
            <w:r>
              <w:rPr>
                <w:b/>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61" w:right="0" w:firstLine="0"/>
              <w:jc w:val="left"/>
            </w:pPr>
            <w:r>
              <w:rPr>
                <w:b/>
              </w:rPr>
              <w:t xml:space="preserve">4.250%  </w:t>
            </w:r>
          </w:p>
        </w:tc>
      </w:tr>
    </w:tbl>
    <w:p w:rsidR="00CA157D" w:rsidRDefault="00935285">
      <w:pPr>
        <w:numPr>
          <w:ilvl w:val="2"/>
          <w:numId w:val="3"/>
        </w:numPr>
        <w:spacing w:after="11"/>
        <w:ind w:right="50" w:hanging="698"/>
      </w:pPr>
      <w:r>
        <w:t xml:space="preserve">The ‘Average Fee Percentage to Tender Summary’ for each Procurement Type is automatically transferred to the ‘Average Fee Percentage’ column at </w:t>
      </w:r>
      <w:r>
        <w:rPr>
          <w:b/>
        </w:rPr>
        <w:t xml:space="preserve">Part 6: Tender Summary </w:t>
      </w:r>
      <w:r>
        <w:t xml:space="preserve">of the Price Model workbook. This is illustrated in the table below: </w:t>
      </w:r>
    </w:p>
    <w:tbl>
      <w:tblPr>
        <w:tblStyle w:val="TableGrid"/>
        <w:tblW w:w="6933" w:type="dxa"/>
        <w:tblInd w:w="886" w:type="dxa"/>
        <w:tblCellMar>
          <w:top w:w="8" w:type="dxa"/>
          <w:left w:w="108" w:type="dxa"/>
          <w:right w:w="47" w:type="dxa"/>
        </w:tblCellMar>
        <w:tblLook w:val="04A0" w:firstRow="1" w:lastRow="0" w:firstColumn="1" w:lastColumn="0" w:noHBand="0" w:noVBand="1"/>
      </w:tblPr>
      <w:tblGrid>
        <w:gridCol w:w="3625"/>
        <w:gridCol w:w="1418"/>
        <w:gridCol w:w="1890"/>
      </w:tblGrid>
      <w:tr w:rsidR="00CA157D">
        <w:trPr>
          <w:trHeight w:val="461"/>
        </w:trPr>
        <w:tc>
          <w:tcPr>
            <w:tcW w:w="3626" w:type="dxa"/>
            <w:tcBorders>
              <w:top w:val="single" w:sz="4" w:space="0" w:color="000000"/>
              <w:left w:val="single" w:sz="4" w:space="0" w:color="000000"/>
              <w:bottom w:val="single" w:sz="4" w:space="0" w:color="000000"/>
              <w:right w:val="nil"/>
            </w:tcBorders>
            <w:shd w:val="clear" w:color="auto" w:fill="CCFFCC"/>
            <w:vAlign w:val="center"/>
          </w:tcPr>
          <w:p w:rsidR="00CA157D" w:rsidRDefault="00935285">
            <w:pPr>
              <w:spacing w:after="0" w:line="259" w:lineRule="auto"/>
              <w:ind w:left="0" w:right="0" w:firstLine="0"/>
              <w:jc w:val="left"/>
            </w:pPr>
            <w:r>
              <w:rPr>
                <w:b/>
              </w:rPr>
              <w:t xml:space="preserve">Percentage Fees </w:t>
            </w:r>
          </w:p>
        </w:tc>
        <w:tc>
          <w:tcPr>
            <w:tcW w:w="1418" w:type="dxa"/>
            <w:tcBorders>
              <w:top w:val="single" w:sz="4" w:space="0" w:color="000000"/>
              <w:left w:val="nil"/>
              <w:bottom w:val="single" w:sz="4" w:space="0" w:color="000000"/>
              <w:right w:val="nil"/>
            </w:tcBorders>
            <w:shd w:val="clear" w:color="auto" w:fill="CCFFCC"/>
          </w:tcPr>
          <w:p w:rsidR="00CA157D" w:rsidRDefault="00CA157D">
            <w:pPr>
              <w:spacing w:after="160" w:line="259" w:lineRule="auto"/>
              <w:ind w:left="0" w:right="0" w:firstLine="0"/>
              <w:jc w:val="left"/>
            </w:pPr>
          </w:p>
        </w:tc>
        <w:tc>
          <w:tcPr>
            <w:tcW w:w="1890" w:type="dxa"/>
            <w:tcBorders>
              <w:top w:val="single" w:sz="4" w:space="0" w:color="000000"/>
              <w:left w:val="nil"/>
              <w:bottom w:val="single" w:sz="4" w:space="0" w:color="000000"/>
              <w:right w:val="single" w:sz="4" w:space="0" w:color="000000"/>
            </w:tcBorders>
            <w:shd w:val="clear" w:color="auto" w:fill="CCFFCC"/>
          </w:tcPr>
          <w:p w:rsidR="00CA157D" w:rsidRDefault="00CA157D">
            <w:pPr>
              <w:spacing w:after="160" w:line="259" w:lineRule="auto"/>
              <w:ind w:left="0" w:right="0" w:firstLine="0"/>
              <w:jc w:val="left"/>
            </w:pPr>
          </w:p>
        </w:tc>
      </w:tr>
      <w:tr w:rsidR="00CA157D">
        <w:trPr>
          <w:trHeight w:val="1276"/>
        </w:trPr>
        <w:tc>
          <w:tcPr>
            <w:tcW w:w="362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55" w:firstLine="0"/>
              <w:jc w:val="center"/>
            </w:pPr>
            <w:r>
              <w:rPr>
                <w:b/>
              </w:rPr>
              <w:t xml:space="preserve">Procurement Type </w:t>
            </w:r>
          </w:p>
        </w:tc>
        <w:tc>
          <w:tcPr>
            <w:tcW w:w="14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50" w:firstLine="0"/>
              <w:jc w:val="center"/>
            </w:pPr>
            <w:r>
              <w:rPr>
                <w:b/>
              </w:rPr>
              <w:t xml:space="preserve">Average </w:t>
            </w:r>
          </w:p>
          <w:p w:rsidR="00CA157D" w:rsidRDefault="00935285">
            <w:pPr>
              <w:spacing w:after="0" w:line="259" w:lineRule="auto"/>
              <w:ind w:left="0" w:right="53" w:firstLine="0"/>
              <w:jc w:val="center"/>
            </w:pPr>
            <w:r>
              <w:rPr>
                <w:b/>
              </w:rPr>
              <w:t xml:space="preserve">Fee </w:t>
            </w:r>
          </w:p>
          <w:p w:rsidR="00CA157D" w:rsidRDefault="00935285">
            <w:pPr>
              <w:spacing w:after="0" w:line="259" w:lineRule="auto"/>
              <w:ind w:left="8" w:right="0" w:firstLine="0"/>
              <w:jc w:val="left"/>
            </w:pPr>
            <w:r>
              <w:rPr>
                <w:b/>
              </w:rPr>
              <w:t xml:space="preserve">Percentage </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55" w:firstLine="0"/>
              <w:jc w:val="center"/>
            </w:pPr>
            <w:r>
              <w:rPr>
                <w:b/>
              </w:rPr>
              <w:t xml:space="preserve">Percentage </w:t>
            </w:r>
          </w:p>
          <w:p w:rsidR="00CA157D" w:rsidRDefault="00935285">
            <w:pPr>
              <w:spacing w:after="0" w:line="259" w:lineRule="auto"/>
              <w:ind w:left="0" w:right="55" w:firstLine="0"/>
              <w:jc w:val="center"/>
            </w:pPr>
            <w:r>
              <w:rPr>
                <w:b/>
              </w:rPr>
              <w:t xml:space="preserve">Project Fee </w:t>
            </w:r>
          </w:p>
          <w:p w:rsidR="00CA157D" w:rsidRDefault="00935285">
            <w:pPr>
              <w:spacing w:after="0" w:line="259" w:lineRule="auto"/>
              <w:ind w:left="0" w:right="47" w:firstLine="0"/>
              <w:jc w:val="center"/>
            </w:pPr>
            <w:r>
              <w:rPr>
                <w:b/>
              </w:rPr>
              <w:t xml:space="preserve">Score by </w:t>
            </w:r>
          </w:p>
          <w:p w:rsidR="00CA157D" w:rsidRDefault="00935285">
            <w:pPr>
              <w:spacing w:after="0" w:line="259" w:lineRule="auto"/>
              <w:ind w:left="0" w:right="54" w:firstLine="0"/>
              <w:jc w:val="center"/>
            </w:pPr>
            <w:r>
              <w:rPr>
                <w:b/>
              </w:rPr>
              <w:t xml:space="preserve">Procurement </w:t>
            </w:r>
          </w:p>
          <w:p w:rsidR="00CA157D" w:rsidRDefault="00935285">
            <w:pPr>
              <w:spacing w:after="0" w:line="259" w:lineRule="auto"/>
              <w:ind w:left="0" w:right="54" w:firstLine="0"/>
              <w:jc w:val="center"/>
            </w:pPr>
            <w:r>
              <w:rPr>
                <w:b/>
              </w:rPr>
              <w:t xml:space="preserve">Type </w:t>
            </w:r>
          </w:p>
        </w:tc>
      </w:tr>
      <w:tr w:rsidR="00CA157D">
        <w:trPr>
          <w:trHeight w:val="290"/>
        </w:trPr>
        <w:tc>
          <w:tcPr>
            <w:tcW w:w="3626"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Design &amp; Build Single Stage </w:t>
            </w:r>
          </w:p>
        </w:tc>
        <w:tc>
          <w:tcPr>
            <w:tcW w:w="141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center"/>
            </w:pPr>
            <w:r>
              <w:t xml:space="preserve">5.782% </w:t>
            </w:r>
          </w:p>
        </w:tc>
        <w:tc>
          <w:tcPr>
            <w:tcW w:w="1890" w:type="dxa"/>
            <w:tcBorders>
              <w:top w:val="single" w:sz="4" w:space="0" w:color="000000"/>
              <w:left w:val="single" w:sz="4" w:space="0" w:color="000000"/>
              <w:bottom w:val="single" w:sz="4" w:space="0" w:color="000000"/>
              <w:right w:val="single" w:sz="8" w:space="0" w:color="000000"/>
            </w:tcBorders>
            <w:shd w:val="clear" w:color="auto" w:fill="D9D9D9"/>
          </w:tcPr>
          <w:p w:rsidR="00CA157D" w:rsidRDefault="00935285">
            <w:pPr>
              <w:spacing w:after="0" w:line="259" w:lineRule="auto"/>
              <w:ind w:left="0" w:right="53" w:firstLine="0"/>
              <w:jc w:val="center"/>
            </w:pPr>
            <w:r>
              <w:t xml:space="preserve">4.250% </w:t>
            </w:r>
          </w:p>
        </w:tc>
      </w:tr>
      <w:tr w:rsidR="00CA157D">
        <w:trPr>
          <w:trHeight w:val="290"/>
        </w:trPr>
        <w:tc>
          <w:tcPr>
            <w:tcW w:w="3626"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Design &amp; Build Two Stage </w:t>
            </w:r>
          </w:p>
        </w:tc>
        <w:tc>
          <w:tcPr>
            <w:tcW w:w="141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center"/>
            </w:pPr>
            <w:r>
              <w:t xml:space="preserve">5.576% </w:t>
            </w:r>
          </w:p>
        </w:tc>
        <w:tc>
          <w:tcPr>
            <w:tcW w:w="1890" w:type="dxa"/>
            <w:tcBorders>
              <w:top w:val="single" w:sz="4" w:space="0" w:color="000000"/>
              <w:left w:val="single" w:sz="4" w:space="0" w:color="000000"/>
              <w:bottom w:val="single" w:sz="4" w:space="0" w:color="000000"/>
              <w:right w:val="single" w:sz="8" w:space="0" w:color="000000"/>
            </w:tcBorders>
            <w:shd w:val="clear" w:color="auto" w:fill="D9D9D9"/>
          </w:tcPr>
          <w:p w:rsidR="00CA157D" w:rsidRDefault="00935285">
            <w:pPr>
              <w:spacing w:after="0" w:line="259" w:lineRule="auto"/>
              <w:ind w:left="0" w:right="53" w:firstLine="0"/>
              <w:jc w:val="center"/>
            </w:pPr>
            <w:r>
              <w:t xml:space="preserve">4.250% </w:t>
            </w:r>
          </w:p>
        </w:tc>
      </w:tr>
      <w:tr w:rsidR="00CA157D">
        <w:trPr>
          <w:trHeight w:val="289"/>
        </w:trPr>
        <w:tc>
          <w:tcPr>
            <w:tcW w:w="3626"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Traditional </w:t>
            </w:r>
          </w:p>
        </w:tc>
        <w:tc>
          <w:tcPr>
            <w:tcW w:w="141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center"/>
            </w:pPr>
            <w:r>
              <w:t xml:space="preserve">5.866% </w:t>
            </w:r>
          </w:p>
        </w:tc>
        <w:tc>
          <w:tcPr>
            <w:tcW w:w="1890" w:type="dxa"/>
            <w:tcBorders>
              <w:top w:val="single" w:sz="4" w:space="0" w:color="000000"/>
              <w:left w:val="single" w:sz="4" w:space="0" w:color="000000"/>
              <w:bottom w:val="single" w:sz="4" w:space="0" w:color="000000"/>
              <w:right w:val="single" w:sz="8" w:space="0" w:color="000000"/>
            </w:tcBorders>
            <w:shd w:val="clear" w:color="auto" w:fill="D9D9D9"/>
          </w:tcPr>
          <w:p w:rsidR="00CA157D" w:rsidRDefault="00935285">
            <w:pPr>
              <w:spacing w:after="0" w:line="259" w:lineRule="auto"/>
              <w:ind w:left="0" w:right="53" w:firstLine="0"/>
              <w:jc w:val="center"/>
            </w:pPr>
            <w:r>
              <w:t xml:space="preserve">4.250% </w:t>
            </w:r>
          </w:p>
        </w:tc>
      </w:tr>
      <w:tr w:rsidR="00CA157D">
        <w:trPr>
          <w:trHeight w:val="290"/>
        </w:trPr>
        <w:tc>
          <w:tcPr>
            <w:tcW w:w="3626"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Two Stage Open Book </w:t>
            </w:r>
          </w:p>
        </w:tc>
        <w:tc>
          <w:tcPr>
            <w:tcW w:w="141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center"/>
            </w:pPr>
            <w:r>
              <w:t xml:space="preserve">5.646% </w:t>
            </w:r>
          </w:p>
        </w:tc>
        <w:tc>
          <w:tcPr>
            <w:tcW w:w="1890" w:type="dxa"/>
            <w:tcBorders>
              <w:top w:val="single" w:sz="4" w:space="0" w:color="000000"/>
              <w:left w:val="single" w:sz="4" w:space="0" w:color="000000"/>
              <w:bottom w:val="single" w:sz="4" w:space="0" w:color="000000"/>
              <w:right w:val="single" w:sz="8" w:space="0" w:color="000000"/>
            </w:tcBorders>
            <w:shd w:val="clear" w:color="auto" w:fill="D9D9D9"/>
          </w:tcPr>
          <w:p w:rsidR="00CA157D" w:rsidRDefault="00935285">
            <w:pPr>
              <w:spacing w:after="0" w:line="259" w:lineRule="auto"/>
              <w:ind w:left="0" w:right="53" w:firstLine="0"/>
              <w:jc w:val="center"/>
            </w:pPr>
            <w:r>
              <w:t xml:space="preserve">4.250% </w:t>
            </w:r>
          </w:p>
        </w:tc>
      </w:tr>
      <w:tr w:rsidR="00CA157D">
        <w:trPr>
          <w:trHeight w:val="290"/>
        </w:trPr>
        <w:tc>
          <w:tcPr>
            <w:tcW w:w="3626"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Cost Led Procurement </w:t>
            </w:r>
          </w:p>
        </w:tc>
        <w:tc>
          <w:tcPr>
            <w:tcW w:w="141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center"/>
            </w:pPr>
            <w:r>
              <w:t xml:space="preserve">5.600% </w:t>
            </w:r>
          </w:p>
        </w:tc>
        <w:tc>
          <w:tcPr>
            <w:tcW w:w="1890" w:type="dxa"/>
            <w:tcBorders>
              <w:top w:val="single" w:sz="4" w:space="0" w:color="000000"/>
              <w:left w:val="single" w:sz="4" w:space="0" w:color="000000"/>
              <w:bottom w:val="single" w:sz="4" w:space="0" w:color="000000"/>
              <w:right w:val="single" w:sz="8" w:space="0" w:color="000000"/>
            </w:tcBorders>
            <w:shd w:val="clear" w:color="auto" w:fill="D9D9D9"/>
          </w:tcPr>
          <w:p w:rsidR="00CA157D" w:rsidRDefault="00935285">
            <w:pPr>
              <w:spacing w:after="0" w:line="259" w:lineRule="auto"/>
              <w:ind w:left="0" w:right="53" w:firstLine="0"/>
              <w:jc w:val="center"/>
            </w:pPr>
            <w:r>
              <w:t xml:space="preserve">2.000% </w:t>
            </w:r>
          </w:p>
        </w:tc>
      </w:tr>
      <w:tr w:rsidR="00CA157D">
        <w:trPr>
          <w:trHeight w:val="289"/>
        </w:trPr>
        <w:tc>
          <w:tcPr>
            <w:tcW w:w="3626"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Integrated Project Insurance </w:t>
            </w:r>
          </w:p>
        </w:tc>
        <w:tc>
          <w:tcPr>
            <w:tcW w:w="1418"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center"/>
            </w:pPr>
            <w:r>
              <w:t xml:space="preserve">5.443% </w:t>
            </w:r>
          </w:p>
        </w:tc>
        <w:tc>
          <w:tcPr>
            <w:tcW w:w="1890" w:type="dxa"/>
            <w:tcBorders>
              <w:top w:val="single" w:sz="4" w:space="0" w:color="000000"/>
              <w:left w:val="single" w:sz="4" w:space="0" w:color="000000"/>
              <w:bottom w:val="single" w:sz="4" w:space="0" w:color="000000"/>
              <w:right w:val="single" w:sz="8" w:space="0" w:color="000000"/>
            </w:tcBorders>
            <w:shd w:val="clear" w:color="auto" w:fill="D9D9D9"/>
          </w:tcPr>
          <w:p w:rsidR="00CA157D" w:rsidRDefault="00935285">
            <w:pPr>
              <w:spacing w:after="0" w:line="259" w:lineRule="auto"/>
              <w:ind w:left="0" w:right="53" w:firstLine="0"/>
              <w:jc w:val="center"/>
            </w:pPr>
            <w:r>
              <w:t xml:space="preserve">1.000% </w:t>
            </w:r>
          </w:p>
        </w:tc>
      </w:tr>
      <w:tr w:rsidR="00CA157D">
        <w:trPr>
          <w:trHeight w:val="432"/>
        </w:trPr>
        <w:tc>
          <w:tcPr>
            <w:tcW w:w="5043" w:type="dxa"/>
            <w:gridSpan w:val="2"/>
            <w:tcBorders>
              <w:top w:val="single" w:sz="4" w:space="0" w:color="000000"/>
              <w:left w:val="single" w:sz="8" w:space="0" w:color="000000"/>
              <w:bottom w:val="single" w:sz="8" w:space="0" w:color="000000"/>
              <w:right w:val="single" w:sz="4" w:space="0" w:color="000000"/>
            </w:tcBorders>
          </w:tcPr>
          <w:p w:rsidR="00CA157D" w:rsidRDefault="00935285">
            <w:pPr>
              <w:spacing w:after="0" w:line="259" w:lineRule="auto"/>
              <w:ind w:left="0" w:right="59" w:firstLine="0"/>
              <w:jc w:val="right"/>
            </w:pPr>
            <w:r>
              <w:rPr>
                <w:b/>
              </w:rPr>
              <w:t xml:space="preserve">Total Percentage Project Fee Score </w:t>
            </w:r>
          </w:p>
        </w:tc>
        <w:tc>
          <w:tcPr>
            <w:tcW w:w="1890" w:type="dxa"/>
            <w:tcBorders>
              <w:top w:val="single" w:sz="4" w:space="0" w:color="D9D9D9"/>
              <w:left w:val="single" w:sz="4" w:space="0" w:color="000000"/>
              <w:bottom w:val="single" w:sz="8" w:space="0" w:color="000000"/>
              <w:right w:val="single" w:sz="8" w:space="0" w:color="000000"/>
            </w:tcBorders>
            <w:shd w:val="clear" w:color="auto" w:fill="D9D9D9"/>
          </w:tcPr>
          <w:p w:rsidR="00CA157D" w:rsidRDefault="00935285">
            <w:pPr>
              <w:spacing w:after="0" w:line="259" w:lineRule="auto"/>
              <w:ind w:left="0" w:right="68" w:firstLine="0"/>
              <w:jc w:val="center"/>
            </w:pPr>
            <w:r>
              <w:rPr>
                <w:b/>
              </w:rPr>
              <w:t xml:space="preserve">20.000% </w:t>
            </w:r>
          </w:p>
        </w:tc>
      </w:tr>
    </w:tbl>
    <w:p w:rsidR="00CA157D" w:rsidRDefault="00935285">
      <w:pPr>
        <w:spacing w:after="98" w:line="259" w:lineRule="auto"/>
        <w:ind w:left="0" w:right="1015" w:firstLine="0"/>
        <w:jc w:val="right"/>
      </w:pPr>
      <w:r>
        <w:t xml:space="preserve"> </w:t>
      </w:r>
    </w:p>
    <w:p w:rsidR="00CA157D" w:rsidRDefault="00935285">
      <w:pPr>
        <w:spacing w:after="261" w:line="259" w:lineRule="auto"/>
        <w:ind w:left="0" w:right="0" w:firstLine="0"/>
        <w:jc w:val="left"/>
      </w:pPr>
      <w:r>
        <w:t xml:space="preserve"> </w:t>
      </w:r>
    </w:p>
    <w:p w:rsidR="00CA157D" w:rsidRDefault="00935285">
      <w:pPr>
        <w:ind w:left="693" w:right="50" w:hanging="708"/>
      </w:pPr>
      <w:r>
        <w:t xml:space="preserve">15.3. Potential Providers shall note that all calculations within the Price Model workbook to arrive at the final “Average Fee Percentage” for each Procurement Type are based on rounding the calculations to three decimal places. The calculated ‘Average Fee Percentage’ taken to </w:t>
      </w:r>
      <w:r>
        <w:rPr>
          <w:b/>
        </w:rPr>
        <w:t xml:space="preserve">Part 6: Tender Summary </w:t>
      </w:r>
      <w:r>
        <w:t xml:space="preserve">worksheet will be evaluated against other Potential Providers’ ‘Average Fee Percentage’ in a separate evaluation workbook and is set out below at paragraph 17.  </w:t>
      </w:r>
    </w:p>
    <w:p w:rsidR="00CA157D" w:rsidRDefault="00935285">
      <w:pPr>
        <w:pStyle w:val="Heading2"/>
        <w:tabs>
          <w:tab w:val="center" w:pos="2415"/>
        </w:tabs>
        <w:ind w:left="-15" w:firstLine="0"/>
        <w:jc w:val="left"/>
      </w:pPr>
      <w:r>
        <w:t xml:space="preserve">16. </w:t>
      </w:r>
      <w:r>
        <w:tab/>
        <w:t xml:space="preserve">Calculation of Time Charge Fees </w:t>
      </w:r>
    </w:p>
    <w:p w:rsidR="00CA157D" w:rsidRDefault="00935285">
      <w:pPr>
        <w:pStyle w:val="Heading3"/>
        <w:spacing w:after="286"/>
        <w:ind w:left="693" w:right="49" w:hanging="708"/>
      </w:pPr>
      <w:r>
        <w:t xml:space="preserve">16.1. Part 4: Time Charge Summary worksheet automatically populates the rates inserted by the Potential Provider in the following worksheets:- </w:t>
      </w:r>
    </w:p>
    <w:p w:rsidR="00CA157D" w:rsidRDefault="00935285">
      <w:pPr>
        <w:numPr>
          <w:ilvl w:val="0"/>
          <w:numId w:val="4"/>
        </w:numPr>
        <w:ind w:right="50" w:hanging="504"/>
      </w:pPr>
      <w:r>
        <w:rPr>
          <w:b/>
        </w:rPr>
        <w:t>Part 2: Time Charge Fees</w:t>
      </w:r>
      <w:r>
        <w:t xml:space="preserve"> worksheet (from the Price Model workbooks for each Procurement Type)</w:t>
      </w:r>
      <w:r>
        <w:rPr>
          <w:b/>
        </w:rPr>
        <w:t xml:space="preserve"> </w:t>
      </w:r>
    </w:p>
    <w:p w:rsidR="00CA157D" w:rsidRDefault="00935285">
      <w:pPr>
        <w:numPr>
          <w:ilvl w:val="0"/>
          <w:numId w:val="4"/>
        </w:numPr>
        <w:spacing w:after="269"/>
        <w:ind w:right="50" w:hanging="504"/>
      </w:pPr>
      <w:r>
        <w:rPr>
          <w:b/>
        </w:rPr>
        <w:t>Part 3: Regional Variations</w:t>
      </w:r>
      <w:r>
        <w:t xml:space="preserve"> worksheet (from the Price Model workbooks from the rates inserted for each region in the column entitled “Time Charge Fees”) </w:t>
      </w:r>
    </w:p>
    <w:p w:rsidR="00CA157D" w:rsidRDefault="00935285">
      <w:pPr>
        <w:ind w:left="693" w:right="50" w:hanging="708"/>
      </w:pPr>
      <w:r>
        <w:t xml:space="preserve">16.2. The calculation of the Time Charge Fees follows a three-step process as set out below:- </w:t>
      </w:r>
    </w:p>
    <w:p w:rsidR="00CA157D" w:rsidRDefault="00935285">
      <w:pPr>
        <w:numPr>
          <w:ilvl w:val="2"/>
          <w:numId w:val="5"/>
        </w:numPr>
        <w:ind w:right="50" w:hanging="698"/>
      </w:pPr>
      <w:r>
        <w:t xml:space="preserve">In </w:t>
      </w:r>
      <w:r>
        <w:rPr>
          <w:b/>
        </w:rPr>
        <w:t>Step 1</w:t>
      </w:r>
      <w:r>
        <w:t xml:space="preserve">, the Prices submitted by the Potential Provider in </w:t>
      </w:r>
      <w:r>
        <w:rPr>
          <w:b/>
        </w:rPr>
        <w:t>Part 2: Time Charge Fees</w:t>
      </w:r>
      <w:r>
        <w:t xml:space="preserve"> worksheet will automatically populate the Hourly Rate and Daily Rate columns in </w:t>
      </w:r>
      <w:r>
        <w:rPr>
          <w:b/>
        </w:rPr>
        <w:t>Part 4 – Time Charge Fees Summary:</w:t>
      </w:r>
      <w:r>
        <w:t xml:space="preserve"> </w:t>
      </w:r>
      <w:r>
        <w:rPr>
          <w:b/>
        </w:rPr>
        <w:t>Table 1 – Weighted Time Charge Fees.</w:t>
      </w:r>
      <w:r>
        <w:t xml:space="preserve">  The Prices will be weighted by the ‘Grade Weighting’ column by an adjustment factor of 0.25, 0.75, 1.00, 1.25 or 1.50.  These weightings are used to indicate the estimated likelihood of each grade undertaking ‘Time Charge’ work. Therefore the weighting is higher where the likelihood of the ‘Grade’ undertaking the work is more likely to apply.   </w:t>
      </w:r>
    </w:p>
    <w:p w:rsidR="00CA157D" w:rsidRDefault="00935285">
      <w:pPr>
        <w:numPr>
          <w:ilvl w:val="2"/>
          <w:numId w:val="5"/>
        </w:numPr>
        <w:ind w:right="50" w:hanging="698"/>
      </w:pPr>
      <w:r>
        <w:t xml:space="preserve">To establish the ‘Weighted Hourly Rate Value’ and ‘Weighted Daily Rate Value’ the ‘Grade Weighting’ is then multiplied by the Potential Provider’s Time Charge Fees from </w:t>
      </w:r>
      <w:r>
        <w:rPr>
          <w:b/>
        </w:rPr>
        <w:t xml:space="preserve">Part 2: Time Charge Fees </w:t>
      </w:r>
      <w:r>
        <w:t xml:space="preserve">worksheet for both Hourly and Daily ‘Time Charge Fee Prices’.  Finally, the average (mean) for each of the ‘Weighted Hourly Rate Value’ and ‘Weighted Daily Rate Value’ columns is calculated and entered into the ‘Average Value’ row under each column. This is illustrated in the table below: </w:t>
      </w:r>
    </w:p>
    <w:p w:rsidR="00CA157D" w:rsidRDefault="00935285">
      <w:pPr>
        <w:spacing w:after="0" w:line="259" w:lineRule="auto"/>
        <w:ind w:left="0" w:right="0" w:firstLine="0"/>
        <w:jc w:val="left"/>
      </w:pPr>
      <w:r>
        <w:t xml:space="preserve"> </w:t>
      </w:r>
    </w:p>
    <w:tbl>
      <w:tblPr>
        <w:tblStyle w:val="TableGrid"/>
        <w:tblW w:w="7368" w:type="dxa"/>
        <w:tblInd w:w="814" w:type="dxa"/>
        <w:tblCellMar>
          <w:top w:w="9" w:type="dxa"/>
          <w:left w:w="103" w:type="dxa"/>
          <w:bottom w:w="5" w:type="dxa"/>
          <w:right w:w="11" w:type="dxa"/>
        </w:tblCellMar>
        <w:tblLook w:val="04A0" w:firstRow="1" w:lastRow="0" w:firstColumn="1" w:lastColumn="0" w:noHBand="0" w:noVBand="1"/>
      </w:tblPr>
      <w:tblGrid>
        <w:gridCol w:w="2123"/>
        <w:gridCol w:w="850"/>
        <w:gridCol w:w="991"/>
        <w:gridCol w:w="1136"/>
        <w:gridCol w:w="1133"/>
        <w:gridCol w:w="1135"/>
      </w:tblGrid>
      <w:tr w:rsidR="00CA157D">
        <w:trPr>
          <w:trHeight w:val="298"/>
        </w:trPr>
        <w:tc>
          <w:tcPr>
            <w:tcW w:w="5101" w:type="dxa"/>
            <w:gridSpan w:val="4"/>
            <w:tcBorders>
              <w:top w:val="single" w:sz="8" w:space="0" w:color="000000"/>
              <w:left w:val="single" w:sz="8" w:space="0" w:color="000000"/>
              <w:bottom w:val="single" w:sz="8" w:space="0" w:color="000000"/>
              <w:right w:val="nil"/>
            </w:tcBorders>
            <w:shd w:val="clear" w:color="auto" w:fill="CCFFCC"/>
          </w:tcPr>
          <w:p w:rsidR="00CA157D" w:rsidRDefault="00935285">
            <w:pPr>
              <w:spacing w:after="0" w:line="259" w:lineRule="auto"/>
              <w:ind w:left="0" w:right="0" w:firstLine="0"/>
              <w:jc w:val="left"/>
            </w:pPr>
            <w:r>
              <w:rPr>
                <w:b/>
              </w:rPr>
              <w:t xml:space="preserve">Table 1 – Weighted Time Charge Rates </w:t>
            </w:r>
          </w:p>
        </w:tc>
        <w:tc>
          <w:tcPr>
            <w:tcW w:w="1133" w:type="dxa"/>
            <w:tcBorders>
              <w:top w:val="single" w:sz="8" w:space="0" w:color="000000"/>
              <w:left w:val="nil"/>
              <w:bottom w:val="single" w:sz="8" w:space="0" w:color="000000"/>
              <w:right w:val="nil"/>
            </w:tcBorders>
            <w:shd w:val="clear" w:color="auto" w:fill="CCFFCC"/>
            <w:vAlign w:val="bottom"/>
          </w:tcPr>
          <w:p w:rsidR="00CA157D" w:rsidRDefault="00CA157D">
            <w:pPr>
              <w:spacing w:after="160" w:line="259" w:lineRule="auto"/>
              <w:ind w:left="0" w:right="0" w:firstLine="0"/>
              <w:jc w:val="left"/>
            </w:pPr>
          </w:p>
        </w:tc>
        <w:tc>
          <w:tcPr>
            <w:tcW w:w="1135" w:type="dxa"/>
            <w:tcBorders>
              <w:top w:val="single" w:sz="8" w:space="0" w:color="000000"/>
              <w:left w:val="nil"/>
              <w:bottom w:val="single" w:sz="8" w:space="0" w:color="000000"/>
              <w:right w:val="single" w:sz="4" w:space="0" w:color="000000"/>
            </w:tcBorders>
            <w:shd w:val="clear" w:color="auto" w:fill="CCFFCC"/>
            <w:vAlign w:val="center"/>
          </w:tcPr>
          <w:p w:rsidR="00CA157D" w:rsidRDefault="00CA157D">
            <w:pPr>
              <w:spacing w:after="160" w:line="259" w:lineRule="auto"/>
              <w:ind w:left="0" w:right="0" w:firstLine="0"/>
              <w:jc w:val="left"/>
            </w:pPr>
          </w:p>
        </w:tc>
      </w:tr>
      <w:tr w:rsidR="00CA157D">
        <w:trPr>
          <w:trHeight w:val="937"/>
        </w:trPr>
        <w:tc>
          <w:tcPr>
            <w:tcW w:w="2124" w:type="dxa"/>
            <w:tcBorders>
              <w:top w:val="single" w:sz="8" w:space="0" w:color="000000"/>
              <w:left w:val="single" w:sz="8"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105" w:firstLine="0"/>
              <w:jc w:val="center"/>
            </w:pPr>
            <w:r>
              <w:rPr>
                <w:b/>
                <w:sz w:val="20"/>
              </w:rPr>
              <w:t xml:space="preserve">Grade </w:t>
            </w:r>
          </w:p>
        </w:tc>
        <w:tc>
          <w:tcPr>
            <w:tcW w:w="850" w:type="dxa"/>
            <w:tcBorders>
              <w:top w:val="single" w:sz="8"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34" w:right="0" w:firstLine="0"/>
              <w:jc w:val="left"/>
            </w:pPr>
            <w:r>
              <w:rPr>
                <w:b/>
                <w:sz w:val="20"/>
              </w:rPr>
              <w:t xml:space="preserve">Grade </w:t>
            </w:r>
          </w:p>
          <w:p w:rsidR="00CA157D" w:rsidRDefault="00935285">
            <w:pPr>
              <w:spacing w:after="0" w:line="259" w:lineRule="auto"/>
              <w:ind w:left="0" w:right="0" w:firstLine="0"/>
              <w:jc w:val="center"/>
            </w:pPr>
            <w:r>
              <w:rPr>
                <w:b/>
                <w:sz w:val="20"/>
              </w:rPr>
              <w:t xml:space="preserve">Weigh ting </w:t>
            </w:r>
          </w:p>
        </w:tc>
        <w:tc>
          <w:tcPr>
            <w:tcW w:w="991" w:type="dxa"/>
            <w:tcBorders>
              <w:top w:val="single" w:sz="8"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center"/>
            </w:pPr>
            <w:r>
              <w:rPr>
                <w:b/>
                <w:sz w:val="20"/>
              </w:rPr>
              <w:t xml:space="preserve">Hourly Rate </w:t>
            </w:r>
          </w:p>
        </w:tc>
        <w:tc>
          <w:tcPr>
            <w:tcW w:w="1136" w:type="dxa"/>
            <w:tcBorders>
              <w:top w:val="single" w:sz="8"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12" w:right="0" w:firstLine="0"/>
              <w:jc w:val="left"/>
            </w:pPr>
            <w:r>
              <w:rPr>
                <w:b/>
                <w:sz w:val="20"/>
              </w:rPr>
              <w:t xml:space="preserve">Weighted  </w:t>
            </w:r>
          </w:p>
          <w:p w:rsidR="00CA157D" w:rsidRDefault="00935285">
            <w:pPr>
              <w:spacing w:after="0" w:line="259" w:lineRule="auto"/>
              <w:ind w:left="0" w:right="96" w:firstLine="0"/>
              <w:jc w:val="center"/>
            </w:pPr>
            <w:r>
              <w:rPr>
                <w:b/>
                <w:sz w:val="20"/>
              </w:rPr>
              <w:t xml:space="preserve">Hourly </w:t>
            </w:r>
          </w:p>
          <w:p w:rsidR="00CA157D" w:rsidRDefault="00935285">
            <w:pPr>
              <w:spacing w:after="0" w:line="259" w:lineRule="auto"/>
              <w:ind w:left="0" w:right="95" w:firstLine="0"/>
              <w:jc w:val="center"/>
            </w:pPr>
            <w:r>
              <w:rPr>
                <w:b/>
                <w:sz w:val="20"/>
              </w:rPr>
              <w:t xml:space="preserve">Rate </w:t>
            </w:r>
          </w:p>
          <w:p w:rsidR="00CA157D" w:rsidRDefault="00935285">
            <w:pPr>
              <w:spacing w:after="0" w:line="259" w:lineRule="auto"/>
              <w:ind w:left="0" w:right="97" w:firstLine="0"/>
              <w:jc w:val="center"/>
            </w:pPr>
            <w:r>
              <w:rPr>
                <w:b/>
                <w:sz w:val="20"/>
              </w:rPr>
              <w:t xml:space="preserve">Value </w:t>
            </w:r>
          </w:p>
        </w:tc>
        <w:tc>
          <w:tcPr>
            <w:tcW w:w="1133" w:type="dxa"/>
            <w:tcBorders>
              <w:top w:val="single" w:sz="8"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10" w:right="47" w:firstLine="0"/>
              <w:jc w:val="center"/>
            </w:pPr>
            <w:r>
              <w:rPr>
                <w:b/>
                <w:sz w:val="20"/>
              </w:rPr>
              <w:t xml:space="preserve">Daily Rate </w:t>
            </w:r>
          </w:p>
        </w:tc>
        <w:tc>
          <w:tcPr>
            <w:tcW w:w="1135" w:type="dxa"/>
            <w:tcBorders>
              <w:top w:val="single" w:sz="8"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12" w:right="0" w:firstLine="0"/>
              <w:jc w:val="left"/>
            </w:pPr>
            <w:r>
              <w:rPr>
                <w:b/>
                <w:sz w:val="20"/>
              </w:rPr>
              <w:t xml:space="preserve">Weighted </w:t>
            </w:r>
          </w:p>
          <w:p w:rsidR="00CA157D" w:rsidRDefault="00935285">
            <w:pPr>
              <w:spacing w:after="0" w:line="259" w:lineRule="auto"/>
              <w:ind w:left="0" w:right="92" w:firstLine="0"/>
              <w:jc w:val="center"/>
            </w:pPr>
            <w:r>
              <w:rPr>
                <w:b/>
                <w:sz w:val="20"/>
              </w:rPr>
              <w:t xml:space="preserve">Daily </w:t>
            </w:r>
          </w:p>
          <w:p w:rsidR="00CA157D" w:rsidRDefault="00935285">
            <w:pPr>
              <w:spacing w:after="0" w:line="259" w:lineRule="auto"/>
              <w:ind w:left="0" w:right="94" w:firstLine="0"/>
              <w:jc w:val="center"/>
            </w:pPr>
            <w:r>
              <w:rPr>
                <w:b/>
                <w:sz w:val="20"/>
              </w:rPr>
              <w:t xml:space="preserve">Rate </w:t>
            </w:r>
          </w:p>
          <w:p w:rsidR="00CA157D" w:rsidRDefault="00935285">
            <w:pPr>
              <w:spacing w:after="0" w:line="259" w:lineRule="auto"/>
              <w:ind w:left="0" w:right="96" w:firstLine="0"/>
              <w:jc w:val="center"/>
            </w:pPr>
            <w:r>
              <w:rPr>
                <w:b/>
                <w:sz w:val="20"/>
              </w:rPr>
              <w:t xml:space="preserve">Value </w:t>
            </w:r>
          </w:p>
        </w:tc>
      </w:tr>
      <w:tr w:rsidR="00CA157D">
        <w:trPr>
          <w:trHeight w:val="515"/>
        </w:trPr>
        <w:tc>
          <w:tcPr>
            <w:tcW w:w="2124" w:type="dxa"/>
            <w:tcBorders>
              <w:top w:val="single" w:sz="4" w:space="0" w:color="000000"/>
              <w:left w:val="single" w:sz="8" w:space="0" w:color="000000"/>
              <w:bottom w:val="single" w:sz="4" w:space="0" w:color="000000"/>
              <w:right w:val="single" w:sz="4" w:space="0" w:color="000000"/>
            </w:tcBorders>
            <w:vAlign w:val="center"/>
          </w:tcPr>
          <w:p w:rsidR="00CA157D" w:rsidRDefault="00935285">
            <w:pPr>
              <w:spacing w:after="0" w:line="259" w:lineRule="auto"/>
              <w:ind w:left="0" w:right="0" w:firstLine="0"/>
              <w:jc w:val="left"/>
            </w:pPr>
            <w:r>
              <w:t xml:space="preserve">Partner or Director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91" w:firstLine="0"/>
              <w:jc w:val="center"/>
            </w:pPr>
            <w:r>
              <w:rPr>
                <w:rFonts w:ascii="Calibri" w:eastAsia="Calibri" w:hAnsi="Calibri" w:cs="Calibri"/>
                <w:b/>
              </w:rPr>
              <w:t>1.00</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5" w:firstLine="0"/>
              <w:jc w:val="right"/>
            </w:pPr>
            <w:r>
              <w:t xml:space="preserve">£100.0 0 </w:t>
            </w:r>
          </w:p>
        </w:tc>
        <w:tc>
          <w:tcPr>
            <w:tcW w:w="1136"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97" w:firstLine="0"/>
              <w:jc w:val="right"/>
            </w:pPr>
            <w:r>
              <w:t xml:space="preserve">£100.00 </w:t>
            </w:r>
          </w:p>
        </w:tc>
        <w:tc>
          <w:tcPr>
            <w:tcW w:w="113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94" w:firstLine="0"/>
              <w:jc w:val="right"/>
            </w:pPr>
            <w:r>
              <w:t xml:space="preserve">£750.00 </w:t>
            </w:r>
          </w:p>
        </w:tc>
        <w:tc>
          <w:tcPr>
            <w:tcW w:w="1135"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96" w:firstLine="0"/>
              <w:jc w:val="right"/>
            </w:pPr>
            <w:r>
              <w:t xml:space="preserve">£750.00 </w:t>
            </w:r>
          </w:p>
        </w:tc>
      </w:tr>
      <w:tr w:rsidR="00CA157D">
        <w:trPr>
          <w:trHeight w:val="311"/>
        </w:trPr>
        <w:tc>
          <w:tcPr>
            <w:tcW w:w="2124"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Senior Professional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91" w:firstLine="0"/>
              <w:jc w:val="center"/>
            </w:pPr>
            <w:r>
              <w:rPr>
                <w:rFonts w:ascii="Calibri" w:eastAsia="Calibri" w:hAnsi="Calibri" w:cs="Calibri"/>
                <w:b/>
              </w:rPr>
              <w:t>1.25</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5" w:firstLine="0"/>
              <w:jc w:val="right"/>
            </w:pPr>
            <w:r>
              <w:t xml:space="preserve">£90.00 </w:t>
            </w:r>
          </w:p>
        </w:tc>
        <w:tc>
          <w:tcPr>
            <w:tcW w:w="113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7" w:firstLine="0"/>
              <w:jc w:val="right"/>
            </w:pPr>
            <w:r>
              <w:t xml:space="preserve">£112.50 </w:t>
            </w:r>
          </w:p>
        </w:tc>
        <w:tc>
          <w:tcPr>
            <w:tcW w:w="113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4" w:firstLine="0"/>
              <w:jc w:val="right"/>
            </w:pPr>
            <w:r>
              <w:t xml:space="preserve">£700.00 </w:t>
            </w:r>
          </w:p>
        </w:tc>
        <w:tc>
          <w:tcPr>
            <w:tcW w:w="113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6" w:firstLine="0"/>
              <w:jc w:val="right"/>
            </w:pPr>
            <w:r>
              <w:t xml:space="preserve">£875.00 </w:t>
            </w:r>
          </w:p>
        </w:tc>
      </w:tr>
      <w:tr w:rsidR="00CA157D">
        <w:trPr>
          <w:trHeight w:val="310"/>
        </w:trPr>
        <w:tc>
          <w:tcPr>
            <w:tcW w:w="2124"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Professional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91" w:firstLine="0"/>
              <w:jc w:val="center"/>
            </w:pPr>
            <w:r>
              <w:rPr>
                <w:rFonts w:ascii="Calibri" w:eastAsia="Calibri" w:hAnsi="Calibri" w:cs="Calibri"/>
                <w:b/>
              </w:rPr>
              <w:t>1.50</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5" w:firstLine="0"/>
              <w:jc w:val="right"/>
            </w:pPr>
            <w:r>
              <w:t xml:space="preserve">£70.00 </w:t>
            </w:r>
          </w:p>
        </w:tc>
        <w:tc>
          <w:tcPr>
            <w:tcW w:w="113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7" w:firstLine="0"/>
              <w:jc w:val="right"/>
            </w:pPr>
            <w:r>
              <w:t xml:space="preserve">£105.00 </w:t>
            </w:r>
          </w:p>
        </w:tc>
        <w:tc>
          <w:tcPr>
            <w:tcW w:w="113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4" w:firstLine="0"/>
              <w:jc w:val="right"/>
            </w:pPr>
            <w:r>
              <w:t xml:space="preserve">£520.00 </w:t>
            </w:r>
          </w:p>
        </w:tc>
        <w:tc>
          <w:tcPr>
            <w:tcW w:w="113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6" w:firstLine="0"/>
              <w:jc w:val="right"/>
            </w:pPr>
            <w:r>
              <w:t xml:space="preserve">£780.00 </w:t>
            </w:r>
          </w:p>
        </w:tc>
      </w:tr>
      <w:tr w:rsidR="00CA157D">
        <w:trPr>
          <w:trHeight w:val="308"/>
        </w:trPr>
        <w:tc>
          <w:tcPr>
            <w:tcW w:w="2124"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Senior Technician </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91" w:firstLine="0"/>
              <w:jc w:val="center"/>
            </w:pPr>
            <w:r>
              <w:rPr>
                <w:rFonts w:ascii="Calibri" w:eastAsia="Calibri" w:hAnsi="Calibri" w:cs="Calibri"/>
                <w:b/>
              </w:rPr>
              <w:t>1.25</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5" w:firstLine="0"/>
              <w:jc w:val="right"/>
            </w:pPr>
            <w:r>
              <w:t xml:space="preserve">£60.00 </w:t>
            </w:r>
          </w:p>
        </w:tc>
        <w:tc>
          <w:tcPr>
            <w:tcW w:w="1136"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8" w:firstLine="0"/>
              <w:jc w:val="right"/>
            </w:pPr>
            <w:r>
              <w:t xml:space="preserve">£75.00 </w:t>
            </w:r>
          </w:p>
        </w:tc>
        <w:tc>
          <w:tcPr>
            <w:tcW w:w="113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4" w:firstLine="0"/>
              <w:jc w:val="right"/>
            </w:pPr>
            <w:r>
              <w:t xml:space="preserve">£450.00 </w:t>
            </w:r>
          </w:p>
        </w:tc>
        <w:tc>
          <w:tcPr>
            <w:tcW w:w="113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96" w:firstLine="0"/>
              <w:jc w:val="right"/>
            </w:pPr>
            <w:r>
              <w:t xml:space="preserve">£562.50 </w:t>
            </w:r>
          </w:p>
        </w:tc>
      </w:tr>
      <w:tr w:rsidR="00CA157D">
        <w:trPr>
          <w:trHeight w:val="305"/>
        </w:trPr>
        <w:tc>
          <w:tcPr>
            <w:tcW w:w="2124" w:type="dxa"/>
            <w:tcBorders>
              <w:top w:val="nil"/>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Technician </w:t>
            </w:r>
          </w:p>
        </w:tc>
        <w:tc>
          <w:tcPr>
            <w:tcW w:w="850" w:type="dxa"/>
            <w:tcBorders>
              <w:top w:val="nil"/>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57" w:firstLine="0"/>
              <w:jc w:val="center"/>
            </w:pPr>
            <w:r>
              <w:rPr>
                <w:rFonts w:ascii="Calibri" w:eastAsia="Calibri" w:hAnsi="Calibri" w:cs="Calibri"/>
                <w:b/>
              </w:rPr>
              <w:t>0.75</w:t>
            </w:r>
            <w:r>
              <w:rPr>
                <w:b/>
              </w:rPr>
              <w:t xml:space="preserve"> </w:t>
            </w:r>
          </w:p>
        </w:tc>
        <w:tc>
          <w:tcPr>
            <w:tcW w:w="991" w:type="dxa"/>
            <w:tcBorders>
              <w:top w:val="nil"/>
              <w:left w:val="single" w:sz="4" w:space="0" w:color="000000"/>
              <w:bottom w:val="single" w:sz="4" w:space="0" w:color="000000"/>
              <w:right w:val="single" w:sz="4" w:space="0" w:color="000000"/>
            </w:tcBorders>
          </w:tcPr>
          <w:p w:rsidR="00CA157D" w:rsidRDefault="00935285">
            <w:pPr>
              <w:spacing w:after="0" w:line="259" w:lineRule="auto"/>
              <w:ind w:left="0" w:right="59" w:firstLine="0"/>
              <w:jc w:val="right"/>
            </w:pPr>
            <w:r>
              <w:t xml:space="preserve">£50.00 </w:t>
            </w:r>
          </w:p>
        </w:tc>
        <w:tc>
          <w:tcPr>
            <w:tcW w:w="1136" w:type="dxa"/>
            <w:tcBorders>
              <w:top w:val="nil"/>
              <w:left w:val="single" w:sz="4" w:space="0" w:color="000000"/>
              <w:bottom w:val="single" w:sz="4" w:space="0" w:color="000000"/>
              <w:right w:val="single" w:sz="4" w:space="0" w:color="000000"/>
            </w:tcBorders>
          </w:tcPr>
          <w:p w:rsidR="00CA157D" w:rsidRDefault="00935285">
            <w:pPr>
              <w:spacing w:after="0" w:line="259" w:lineRule="auto"/>
              <w:ind w:left="0" w:right="62" w:firstLine="0"/>
              <w:jc w:val="right"/>
            </w:pPr>
            <w:r>
              <w:t xml:space="preserve">£37.50 </w:t>
            </w:r>
          </w:p>
        </w:tc>
        <w:tc>
          <w:tcPr>
            <w:tcW w:w="1133" w:type="dxa"/>
            <w:tcBorders>
              <w:top w:val="nil"/>
              <w:left w:val="single" w:sz="4" w:space="0" w:color="000000"/>
              <w:bottom w:val="single" w:sz="4" w:space="0" w:color="000000"/>
              <w:right w:val="single" w:sz="4" w:space="0" w:color="000000"/>
            </w:tcBorders>
          </w:tcPr>
          <w:p w:rsidR="00CA157D" w:rsidRDefault="00935285">
            <w:pPr>
              <w:spacing w:after="0" w:line="259" w:lineRule="auto"/>
              <w:ind w:left="0" w:right="58" w:firstLine="0"/>
              <w:jc w:val="right"/>
            </w:pPr>
            <w:r>
              <w:t xml:space="preserve">£380.00 </w:t>
            </w:r>
          </w:p>
        </w:tc>
        <w:tc>
          <w:tcPr>
            <w:tcW w:w="1135" w:type="dxa"/>
            <w:tcBorders>
              <w:top w:val="nil"/>
              <w:left w:val="single" w:sz="4" w:space="0" w:color="000000"/>
              <w:bottom w:val="single" w:sz="4" w:space="0" w:color="000000"/>
              <w:right w:val="single" w:sz="4" w:space="0" w:color="000000"/>
            </w:tcBorders>
          </w:tcPr>
          <w:p w:rsidR="00CA157D" w:rsidRDefault="00935285">
            <w:pPr>
              <w:spacing w:after="0" w:line="259" w:lineRule="auto"/>
              <w:ind w:left="0" w:right="61" w:firstLine="0"/>
              <w:jc w:val="right"/>
            </w:pPr>
            <w:r>
              <w:t xml:space="preserve">£285.00 </w:t>
            </w:r>
          </w:p>
        </w:tc>
      </w:tr>
      <w:tr w:rsidR="00CA157D">
        <w:trPr>
          <w:trHeight w:val="767"/>
        </w:trPr>
        <w:tc>
          <w:tcPr>
            <w:tcW w:w="2124"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Admin/Junior Technician/Apprent ice </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57" w:firstLine="0"/>
              <w:jc w:val="center"/>
            </w:pPr>
            <w:r>
              <w:rPr>
                <w:rFonts w:ascii="Calibri" w:eastAsia="Calibri" w:hAnsi="Calibri" w:cs="Calibri"/>
                <w:b/>
              </w:rPr>
              <w:t>0.25</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59" w:firstLine="0"/>
              <w:jc w:val="right"/>
            </w:pPr>
            <w:r>
              <w:t xml:space="preserve">£30.00 </w:t>
            </w:r>
          </w:p>
        </w:tc>
        <w:tc>
          <w:tcPr>
            <w:tcW w:w="1136"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1" w:firstLine="0"/>
              <w:jc w:val="right"/>
            </w:pPr>
            <w:r>
              <w:t xml:space="preserve">£7.50 </w:t>
            </w:r>
          </w:p>
        </w:tc>
        <w:tc>
          <w:tcPr>
            <w:tcW w:w="1133"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58" w:firstLine="0"/>
              <w:jc w:val="right"/>
            </w:pPr>
            <w:r>
              <w:t xml:space="preserve">£220.00 </w:t>
            </w:r>
          </w:p>
        </w:tc>
        <w:tc>
          <w:tcPr>
            <w:tcW w:w="1135"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2" w:firstLine="0"/>
              <w:jc w:val="right"/>
            </w:pPr>
            <w:r>
              <w:t xml:space="preserve">£55.00 </w:t>
            </w:r>
          </w:p>
        </w:tc>
      </w:tr>
      <w:tr w:rsidR="00CA157D">
        <w:trPr>
          <w:trHeight w:val="337"/>
        </w:trPr>
        <w:tc>
          <w:tcPr>
            <w:tcW w:w="2124" w:type="dxa"/>
            <w:tcBorders>
              <w:top w:val="single" w:sz="4" w:space="0" w:color="000000"/>
              <w:left w:val="single" w:sz="8" w:space="0" w:color="000000"/>
              <w:bottom w:val="single" w:sz="8" w:space="0" w:color="000000"/>
              <w:right w:val="nil"/>
            </w:tcBorders>
          </w:tcPr>
          <w:p w:rsidR="00CA157D" w:rsidRDefault="00CA157D">
            <w:pPr>
              <w:spacing w:after="160" w:line="259" w:lineRule="auto"/>
              <w:ind w:left="0" w:right="0" w:firstLine="0"/>
              <w:jc w:val="left"/>
            </w:pPr>
          </w:p>
        </w:tc>
        <w:tc>
          <w:tcPr>
            <w:tcW w:w="1841" w:type="dxa"/>
            <w:gridSpan w:val="2"/>
            <w:tcBorders>
              <w:top w:val="single" w:sz="4" w:space="0" w:color="000000"/>
              <w:left w:val="nil"/>
              <w:bottom w:val="single" w:sz="8" w:space="0" w:color="000000"/>
              <w:right w:val="single" w:sz="4" w:space="0" w:color="000000"/>
            </w:tcBorders>
          </w:tcPr>
          <w:p w:rsidR="00CA157D" w:rsidRDefault="00935285">
            <w:pPr>
              <w:spacing w:after="0" w:line="259" w:lineRule="auto"/>
              <w:ind w:left="110" w:right="0" w:firstLine="0"/>
              <w:jc w:val="left"/>
            </w:pPr>
            <w:r>
              <w:rPr>
                <w:b/>
              </w:rPr>
              <w:t xml:space="preserve">Average Value </w:t>
            </w:r>
          </w:p>
        </w:tc>
        <w:tc>
          <w:tcPr>
            <w:tcW w:w="1136" w:type="dxa"/>
            <w:tcBorders>
              <w:top w:val="single" w:sz="4" w:space="0" w:color="000000"/>
              <w:left w:val="single" w:sz="4" w:space="0" w:color="000000"/>
              <w:bottom w:val="single" w:sz="8" w:space="0" w:color="000000"/>
              <w:right w:val="single" w:sz="4" w:space="0" w:color="000000"/>
            </w:tcBorders>
          </w:tcPr>
          <w:p w:rsidR="00CA157D" w:rsidRDefault="00935285">
            <w:pPr>
              <w:spacing w:after="0" w:line="259" w:lineRule="auto"/>
              <w:ind w:left="0" w:right="61" w:firstLine="0"/>
              <w:jc w:val="right"/>
            </w:pPr>
            <w:r>
              <w:rPr>
                <w:b/>
              </w:rPr>
              <w:t xml:space="preserve">£72.917 </w:t>
            </w:r>
          </w:p>
        </w:tc>
        <w:tc>
          <w:tcPr>
            <w:tcW w:w="1133" w:type="dxa"/>
            <w:tcBorders>
              <w:top w:val="single" w:sz="4" w:space="0" w:color="000000"/>
              <w:left w:val="single" w:sz="4" w:space="0" w:color="000000"/>
              <w:bottom w:val="single" w:sz="8" w:space="0" w:color="000000"/>
              <w:right w:val="single" w:sz="4" w:space="0" w:color="000000"/>
            </w:tcBorders>
          </w:tcPr>
          <w:p w:rsidR="00CA157D" w:rsidRDefault="00935285">
            <w:pPr>
              <w:spacing w:after="0" w:line="259" w:lineRule="auto"/>
              <w:ind w:left="2" w:right="0" w:firstLine="0"/>
              <w:jc w:val="left"/>
            </w:pPr>
            <w:r>
              <w:t xml:space="preserve">  </w:t>
            </w:r>
          </w:p>
        </w:tc>
        <w:tc>
          <w:tcPr>
            <w:tcW w:w="1135" w:type="dxa"/>
            <w:tcBorders>
              <w:top w:val="single" w:sz="4" w:space="0" w:color="000000"/>
              <w:left w:val="single" w:sz="4" w:space="0" w:color="000000"/>
              <w:bottom w:val="single" w:sz="8" w:space="0" w:color="000000"/>
              <w:right w:val="single" w:sz="4" w:space="0" w:color="000000"/>
            </w:tcBorders>
          </w:tcPr>
          <w:p w:rsidR="00CA157D" w:rsidRDefault="00935285">
            <w:pPr>
              <w:spacing w:after="0" w:line="259" w:lineRule="auto"/>
              <w:ind w:left="2" w:right="0" w:firstLine="0"/>
            </w:pPr>
            <w:r>
              <w:rPr>
                <w:b/>
              </w:rPr>
              <w:t xml:space="preserve">£551.250 </w:t>
            </w:r>
          </w:p>
        </w:tc>
      </w:tr>
    </w:tbl>
    <w:p w:rsidR="00CA157D" w:rsidRDefault="00935285">
      <w:pPr>
        <w:spacing w:after="268" w:line="259" w:lineRule="auto"/>
        <w:ind w:left="1702" w:right="0" w:firstLine="0"/>
        <w:jc w:val="left"/>
      </w:pPr>
      <w:r>
        <w:t xml:space="preserve"> </w:t>
      </w:r>
    </w:p>
    <w:p w:rsidR="00CA157D" w:rsidRDefault="00935285">
      <w:pPr>
        <w:numPr>
          <w:ilvl w:val="2"/>
          <w:numId w:val="5"/>
        </w:numPr>
        <w:ind w:right="50" w:hanging="698"/>
      </w:pPr>
      <w:r>
        <w:t xml:space="preserve">In </w:t>
      </w:r>
      <w:r>
        <w:rPr>
          <w:b/>
        </w:rPr>
        <w:t xml:space="preserve">Step 2, </w:t>
      </w:r>
      <w:r>
        <w:t xml:space="preserve">the ‘Time Charge’ ‘Regional Adjustment’ provided by the Potential Provider in </w:t>
      </w:r>
      <w:r>
        <w:rPr>
          <w:b/>
        </w:rPr>
        <w:t xml:space="preserve">Part 3: Regional Variations </w:t>
      </w:r>
      <w:r>
        <w:t xml:space="preserve">worksheet is applied to the ‘Average Value’ Hourly and Daily rates. A ‘Region Weighting’ is then applied to calculate the Hourly and Daily ‘Region Adjusted Rates’.   </w:t>
      </w:r>
    </w:p>
    <w:p w:rsidR="00CA157D" w:rsidRDefault="00935285">
      <w:pPr>
        <w:numPr>
          <w:ilvl w:val="2"/>
          <w:numId w:val="5"/>
        </w:numPr>
        <w:spacing w:after="271"/>
        <w:ind w:right="50" w:hanging="698"/>
      </w:pPr>
      <w:r>
        <w:t xml:space="preserve">In </w:t>
      </w:r>
      <w:r>
        <w:rPr>
          <w:b/>
        </w:rPr>
        <w:t>Step 3</w:t>
      </w:r>
      <w:r>
        <w:t xml:space="preserve">, the average (mean) for each of the Hourly and Daily ‘Region Adjusted Rates’ columns is calculated and transferred into the ‘Average Value to Tender Summary’ row under each column. This is illustrated in the table below: </w:t>
      </w:r>
    </w:p>
    <w:p w:rsidR="00CA157D" w:rsidRDefault="00935285">
      <w:pPr>
        <w:spacing w:after="0" w:line="259" w:lineRule="auto"/>
        <w:ind w:left="1224" w:right="0" w:firstLine="0"/>
        <w:jc w:val="left"/>
      </w:pPr>
      <w:r>
        <w:t xml:space="preserve"> </w:t>
      </w:r>
    </w:p>
    <w:tbl>
      <w:tblPr>
        <w:tblStyle w:val="TableGrid"/>
        <w:tblW w:w="7766" w:type="dxa"/>
        <w:tblInd w:w="854" w:type="dxa"/>
        <w:tblCellMar>
          <w:top w:w="9" w:type="dxa"/>
          <w:left w:w="106" w:type="dxa"/>
          <w:bottom w:w="5" w:type="dxa"/>
          <w:right w:w="43" w:type="dxa"/>
        </w:tblCellMar>
        <w:tblLook w:val="04A0" w:firstRow="1" w:lastRow="0" w:firstColumn="1" w:lastColumn="0" w:noHBand="0" w:noVBand="1"/>
      </w:tblPr>
      <w:tblGrid>
        <w:gridCol w:w="2869"/>
        <w:gridCol w:w="1145"/>
        <w:gridCol w:w="1278"/>
        <w:gridCol w:w="1265"/>
        <w:gridCol w:w="1209"/>
      </w:tblGrid>
      <w:tr w:rsidR="00CA157D">
        <w:trPr>
          <w:trHeight w:val="298"/>
        </w:trPr>
        <w:tc>
          <w:tcPr>
            <w:tcW w:w="7766" w:type="dxa"/>
            <w:gridSpan w:val="5"/>
            <w:tcBorders>
              <w:top w:val="single" w:sz="8" w:space="0" w:color="000000"/>
              <w:left w:val="single" w:sz="8" w:space="0" w:color="000000"/>
              <w:bottom w:val="single" w:sz="8" w:space="0" w:color="000000"/>
              <w:right w:val="single" w:sz="8" w:space="0" w:color="000000"/>
            </w:tcBorders>
            <w:shd w:val="clear" w:color="auto" w:fill="CCFFCC"/>
          </w:tcPr>
          <w:p w:rsidR="00CA157D" w:rsidRDefault="00935285">
            <w:pPr>
              <w:spacing w:after="0" w:line="259" w:lineRule="auto"/>
              <w:ind w:left="0" w:right="0" w:firstLine="0"/>
              <w:jc w:val="left"/>
            </w:pPr>
            <w:r>
              <w:rPr>
                <w:b/>
              </w:rPr>
              <w:t xml:space="preserve">2. Regionally Adjusted Average Time Charge Rates </w:t>
            </w:r>
          </w:p>
        </w:tc>
      </w:tr>
      <w:tr w:rsidR="00CA157D">
        <w:trPr>
          <w:trHeight w:val="526"/>
        </w:trPr>
        <w:tc>
          <w:tcPr>
            <w:tcW w:w="2869" w:type="dxa"/>
            <w:vMerge w:val="restart"/>
            <w:tcBorders>
              <w:top w:val="single" w:sz="8" w:space="0" w:color="000000"/>
              <w:left w:val="single" w:sz="8"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left"/>
            </w:pPr>
            <w:r>
              <w:rPr>
                <w:b/>
              </w:rPr>
              <w:t xml:space="preserve">Regional Adjustment  </w:t>
            </w:r>
          </w:p>
        </w:tc>
        <w:tc>
          <w:tcPr>
            <w:tcW w:w="1145" w:type="dxa"/>
            <w:vMerge w:val="restart"/>
            <w:tcBorders>
              <w:top w:val="single" w:sz="8"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center"/>
            </w:pPr>
            <w:r>
              <w:rPr>
                <w:b/>
              </w:rPr>
              <w:t xml:space="preserve">Regional Adj </w:t>
            </w:r>
          </w:p>
        </w:tc>
        <w:tc>
          <w:tcPr>
            <w:tcW w:w="1278" w:type="dxa"/>
            <w:vMerge w:val="restart"/>
            <w:tcBorders>
              <w:top w:val="single" w:sz="8"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center"/>
            </w:pPr>
            <w:r>
              <w:rPr>
                <w:b/>
              </w:rPr>
              <w:t xml:space="preserve">Region Weighting </w:t>
            </w:r>
          </w:p>
        </w:tc>
        <w:tc>
          <w:tcPr>
            <w:tcW w:w="2474" w:type="dxa"/>
            <w:gridSpan w:val="2"/>
            <w:tcBorders>
              <w:top w:val="single" w:sz="8" w:space="0" w:color="000000"/>
              <w:left w:val="single" w:sz="4" w:space="0" w:color="000000"/>
              <w:bottom w:val="single" w:sz="4" w:space="0" w:color="CCFFCC"/>
              <w:right w:val="single" w:sz="8" w:space="0" w:color="000000"/>
            </w:tcBorders>
            <w:shd w:val="clear" w:color="auto" w:fill="CCFFCC"/>
          </w:tcPr>
          <w:p w:rsidR="00CA157D" w:rsidRDefault="00935285">
            <w:pPr>
              <w:spacing w:after="0" w:line="259" w:lineRule="auto"/>
              <w:ind w:left="0" w:right="0" w:firstLine="0"/>
              <w:jc w:val="center"/>
            </w:pPr>
            <w:r>
              <w:rPr>
                <w:b/>
              </w:rPr>
              <w:t xml:space="preserve">Region Adjusted Rates </w:t>
            </w:r>
          </w:p>
        </w:tc>
      </w:tr>
      <w:tr w:rsidR="00CA157D">
        <w:trPr>
          <w:trHeight w:val="522"/>
        </w:trPr>
        <w:tc>
          <w:tcPr>
            <w:tcW w:w="0" w:type="auto"/>
            <w:vMerge/>
            <w:tcBorders>
              <w:top w:val="nil"/>
              <w:left w:val="single" w:sz="8" w:space="0" w:color="000000"/>
              <w:bottom w:val="single" w:sz="4" w:space="0" w:color="000000"/>
              <w:right w:val="single" w:sz="4" w:space="0" w:color="000000"/>
            </w:tcBorders>
          </w:tcPr>
          <w:p w:rsidR="00CA157D" w:rsidRDefault="00CA157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157D" w:rsidRDefault="00CA157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157D" w:rsidRDefault="00CA157D">
            <w:pPr>
              <w:spacing w:after="160" w:line="259" w:lineRule="auto"/>
              <w:ind w:left="0" w:right="0" w:firstLine="0"/>
              <w:jc w:val="left"/>
            </w:pPr>
          </w:p>
        </w:tc>
        <w:tc>
          <w:tcPr>
            <w:tcW w:w="1265" w:type="dxa"/>
            <w:tcBorders>
              <w:top w:val="single" w:sz="4" w:space="0" w:color="CCFFCC"/>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0" w:firstLine="0"/>
              <w:jc w:val="center"/>
            </w:pPr>
            <w:r>
              <w:rPr>
                <w:b/>
              </w:rPr>
              <w:t xml:space="preserve">Hourly Rate </w:t>
            </w:r>
          </w:p>
        </w:tc>
        <w:tc>
          <w:tcPr>
            <w:tcW w:w="1209" w:type="dxa"/>
            <w:tcBorders>
              <w:top w:val="single" w:sz="4" w:space="0" w:color="CCFFCC"/>
              <w:left w:val="single" w:sz="4" w:space="0" w:color="000000"/>
              <w:bottom w:val="single" w:sz="4" w:space="0" w:color="000000"/>
              <w:right w:val="single" w:sz="8" w:space="0" w:color="000000"/>
            </w:tcBorders>
            <w:shd w:val="clear" w:color="auto" w:fill="CCFFCC"/>
          </w:tcPr>
          <w:p w:rsidR="00CA157D" w:rsidRDefault="00935285">
            <w:pPr>
              <w:spacing w:after="0" w:line="259" w:lineRule="auto"/>
              <w:ind w:left="0" w:right="0" w:firstLine="0"/>
              <w:jc w:val="center"/>
            </w:pPr>
            <w:r>
              <w:rPr>
                <w:b/>
              </w:rPr>
              <w:t xml:space="preserve">Daily Rate </w:t>
            </w:r>
          </w:p>
        </w:tc>
      </w:tr>
      <w:tr w:rsidR="00CA157D">
        <w:trPr>
          <w:trHeight w:val="310"/>
        </w:trPr>
        <w:tc>
          <w:tcPr>
            <w:tcW w:w="2869"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1- Scotland </w:t>
            </w:r>
          </w:p>
        </w:tc>
        <w:tc>
          <w:tcPr>
            <w:tcW w:w="114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3" w:firstLine="0"/>
              <w:jc w:val="right"/>
            </w:pPr>
            <w:r>
              <w:t xml:space="preserve">3.000%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61" w:firstLine="0"/>
              <w:jc w:val="center"/>
            </w:pPr>
            <w:r>
              <w:rPr>
                <w:b/>
              </w:rPr>
              <w:t xml:space="preserve">1.00 </w:t>
            </w:r>
          </w:p>
        </w:tc>
        <w:tc>
          <w:tcPr>
            <w:tcW w:w="126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1" w:firstLine="0"/>
              <w:jc w:val="right"/>
            </w:pPr>
            <w:r>
              <w:t xml:space="preserve">£75.10 </w:t>
            </w:r>
          </w:p>
        </w:tc>
        <w:tc>
          <w:tcPr>
            <w:tcW w:w="1209" w:type="dxa"/>
            <w:tcBorders>
              <w:top w:val="single" w:sz="4" w:space="0" w:color="000000"/>
              <w:left w:val="single" w:sz="4" w:space="0" w:color="000000"/>
              <w:bottom w:val="single" w:sz="4" w:space="0" w:color="000000"/>
              <w:right w:val="single" w:sz="8" w:space="0" w:color="000000"/>
            </w:tcBorders>
          </w:tcPr>
          <w:p w:rsidR="00CA157D" w:rsidRDefault="00935285">
            <w:pPr>
              <w:spacing w:after="0" w:line="259" w:lineRule="auto"/>
              <w:ind w:left="0" w:right="60" w:firstLine="0"/>
              <w:jc w:val="right"/>
            </w:pPr>
            <w:r>
              <w:t xml:space="preserve">£567.79 </w:t>
            </w:r>
          </w:p>
        </w:tc>
      </w:tr>
      <w:tr w:rsidR="00CA157D">
        <w:trPr>
          <w:trHeight w:val="310"/>
        </w:trPr>
        <w:tc>
          <w:tcPr>
            <w:tcW w:w="2869"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2 - Wales </w:t>
            </w:r>
          </w:p>
        </w:tc>
        <w:tc>
          <w:tcPr>
            <w:tcW w:w="114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3" w:firstLine="0"/>
              <w:jc w:val="right"/>
            </w:pPr>
            <w:r>
              <w:t xml:space="preserve">3.000%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61" w:firstLine="0"/>
              <w:jc w:val="center"/>
            </w:pPr>
            <w:r>
              <w:rPr>
                <w:b/>
              </w:rPr>
              <w:t xml:space="preserve">0.75 </w:t>
            </w:r>
          </w:p>
        </w:tc>
        <w:tc>
          <w:tcPr>
            <w:tcW w:w="126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1" w:firstLine="0"/>
              <w:jc w:val="right"/>
            </w:pPr>
            <w:r>
              <w:t xml:space="preserve">£56.33 </w:t>
            </w:r>
          </w:p>
        </w:tc>
        <w:tc>
          <w:tcPr>
            <w:tcW w:w="1209" w:type="dxa"/>
            <w:tcBorders>
              <w:top w:val="single" w:sz="4" w:space="0" w:color="000000"/>
              <w:left w:val="single" w:sz="4" w:space="0" w:color="000000"/>
              <w:bottom w:val="single" w:sz="4" w:space="0" w:color="000000"/>
              <w:right w:val="single" w:sz="8" w:space="0" w:color="000000"/>
            </w:tcBorders>
          </w:tcPr>
          <w:p w:rsidR="00CA157D" w:rsidRDefault="00935285">
            <w:pPr>
              <w:spacing w:after="0" w:line="259" w:lineRule="auto"/>
              <w:ind w:left="0" w:right="60" w:firstLine="0"/>
              <w:jc w:val="right"/>
            </w:pPr>
            <w:r>
              <w:t xml:space="preserve">£425.84 </w:t>
            </w:r>
          </w:p>
        </w:tc>
      </w:tr>
      <w:tr w:rsidR="00CA157D">
        <w:trPr>
          <w:trHeight w:val="516"/>
        </w:trPr>
        <w:tc>
          <w:tcPr>
            <w:tcW w:w="2869"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50" w:firstLine="0"/>
              <w:jc w:val="left"/>
            </w:pPr>
            <w:r>
              <w:t xml:space="preserve">Region 3 - Northern Ireland </w:t>
            </w:r>
          </w:p>
        </w:tc>
        <w:tc>
          <w:tcPr>
            <w:tcW w:w="1145"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3" w:firstLine="0"/>
              <w:jc w:val="right"/>
            </w:pPr>
            <w:r>
              <w:t xml:space="preserve">3.000%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61" w:firstLine="0"/>
              <w:jc w:val="center"/>
            </w:pPr>
            <w:r>
              <w:rPr>
                <w:b/>
              </w:rPr>
              <w:t xml:space="preserve">0.75 </w:t>
            </w:r>
          </w:p>
        </w:tc>
        <w:tc>
          <w:tcPr>
            <w:tcW w:w="1265"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61" w:firstLine="0"/>
              <w:jc w:val="right"/>
            </w:pPr>
            <w:r>
              <w:t xml:space="preserve">£37.55 </w:t>
            </w:r>
          </w:p>
        </w:tc>
        <w:tc>
          <w:tcPr>
            <w:tcW w:w="1209" w:type="dxa"/>
            <w:tcBorders>
              <w:top w:val="single" w:sz="4" w:space="0" w:color="000000"/>
              <w:left w:val="single" w:sz="4" w:space="0" w:color="000000"/>
              <w:bottom w:val="single" w:sz="4" w:space="0" w:color="000000"/>
              <w:right w:val="single" w:sz="8" w:space="0" w:color="000000"/>
            </w:tcBorders>
            <w:vAlign w:val="bottom"/>
          </w:tcPr>
          <w:p w:rsidR="00CA157D" w:rsidRDefault="00935285">
            <w:pPr>
              <w:spacing w:after="0" w:line="259" w:lineRule="auto"/>
              <w:ind w:left="0" w:right="60" w:firstLine="0"/>
              <w:jc w:val="right"/>
            </w:pPr>
            <w:r>
              <w:t xml:space="preserve">£283.89 </w:t>
            </w:r>
          </w:p>
        </w:tc>
      </w:tr>
      <w:tr w:rsidR="00CA157D">
        <w:trPr>
          <w:trHeight w:val="310"/>
        </w:trPr>
        <w:tc>
          <w:tcPr>
            <w:tcW w:w="2869"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4 - North Region </w:t>
            </w:r>
          </w:p>
        </w:tc>
        <w:tc>
          <w:tcPr>
            <w:tcW w:w="114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3" w:firstLine="0"/>
              <w:jc w:val="right"/>
            </w:pPr>
            <w:r>
              <w:t xml:space="preserve">3.000%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61" w:firstLine="0"/>
              <w:jc w:val="center"/>
            </w:pPr>
            <w:r>
              <w:rPr>
                <w:b/>
              </w:rPr>
              <w:t xml:space="preserve">1.00 </w:t>
            </w:r>
          </w:p>
        </w:tc>
        <w:tc>
          <w:tcPr>
            <w:tcW w:w="126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1" w:firstLine="0"/>
              <w:jc w:val="right"/>
            </w:pPr>
            <w:r>
              <w:t xml:space="preserve">£75.10 </w:t>
            </w:r>
          </w:p>
        </w:tc>
        <w:tc>
          <w:tcPr>
            <w:tcW w:w="1209" w:type="dxa"/>
            <w:tcBorders>
              <w:top w:val="single" w:sz="4" w:space="0" w:color="000000"/>
              <w:left w:val="single" w:sz="4" w:space="0" w:color="000000"/>
              <w:bottom w:val="single" w:sz="4" w:space="0" w:color="000000"/>
              <w:right w:val="single" w:sz="8" w:space="0" w:color="000000"/>
            </w:tcBorders>
          </w:tcPr>
          <w:p w:rsidR="00CA157D" w:rsidRDefault="00935285">
            <w:pPr>
              <w:spacing w:after="0" w:line="259" w:lineRule="auto"/>
              <w:ind w:left="0" w:right="60" w:firstLine="0"/>
              <w:jc w:val="right"/>
            </w:pPr>
            <w:r>
              <w:t xml:space="preserve">£567.79 </w:t>
            </w:r>
          </w:p>
        </w:tc>
      </w:tr>
      <w:tr w:rsidR="00CA157D">
        <w:trPr>
          <w:trHeight w:val="310"/>
        </w:trPr>
        <w:tc>
          <w:tcPr>
            <w:tcW w:w="2869"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5a - South Region </w:t>
            </w:r>
          </w:p>
        </w:tc>
        <w:tc>
          <w:tcPr>
            <w:tcW w:w="114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3" w:firstLine="0"/>
              <w:jc w:val="right"/>
            </w:pPr>
            <w:r>
              <w:t xml:space="preserve">2.000%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61" w:firstLine="0"/>
              <w:jc w:val="center"/>
            </w:pPr>
            <w:r>
              <w:rPr>
                <w:b/>
              </w:rPr>
              <w:t xml:space="preserve">1.25 </w:t>
            </w:r>
          </w:p>
        </w:tc>
        <w:tc>
          <w:tcPr>
            <w:tcW w:w="126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1" w:firstLine="0"/>
              <w:jc w:val="right"/>
            </w:pPr>
            <w:r>
              <w:t xml:space="preserve">£92.97 </w:t>
            </w:r>
          </w:p>
        </w:tc>
        <w:tc>
          <w:tcPr>
            <w:tcW w:w="1209" w:type="dxa"/>
            <w:tcBorders>
              <w:top w:val="single" w:sz="4" w:space="0" w:color="000000"/>
              <w:left w:val="single" w:sz="4" w:space="0" w:color="000000"/>
              <w:bottom w:val="single" w:sz="4" w:space="0" w:color="000000"/>
              <w:right w:val="single" w:sz="8" w:space="0" w:color="000000"/>
            </w:tcBorders>
          </w:tcPr>
          <w:p w:rsidR="00CA157D" w:rsidRDefault="00935285">
            <w:pPr>
              <w:spacing w:after="0" w:line="259" w:lineRule="auto"/>
              <w:ind w:left="0" w:right="60" w:firstLine="0"/>
              <w:jc w:val="right"/>
            </w:pPr>
            <w:r>
              <w:t xml:space="preserve">£702.84 </w:t>
            </w:r>
          </w:p>
        </w:tc>
      </w:tr>
      <w:tr w:rsidR="00CA157D">
        <w:trPr>
          <w:trHeight w:val="308"/>
        </w:trPr>
        <w:tc>
          <w:tcPr>
            <w:tcW w:w="2869" w:type="dxa"/>
            <w:tcBorders>
              <w:top w:val="single" w:sz="4" w:space="0" w:color="000000"/>
              <w:left w:val="single" w:sz="8" w:space="0" w:color="000000"/>
              <w:bottom w:val="single" w:sz="4" w:space="0" w:color="000000"/>
              <w:right w:val="single" w:sz="4" w:space="0" w:color="000000"/>
            </w:tcBorders>
          </w:tcPr>
          <w:p w:rsidR="00CA157D" w:rsidRDefault="00935285">
            <w:pPr>
              <w:spacing w:after="0" w:line="259" w:lineRule="auto"/>
              <w:ind w:left="0" w:right="0" w:firstLine="0"/>
              <w:jc w:val="left"/>
            </w:pPr>
            <w:r>
              <w:t xml:space="preserve">Region 5b - South Region </w:t>
            </w:r>
          </w:p>
        </w:tc>
        <w:tc>
          <w:tcPr>
            <w:tcW w:w="114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3" w:firstLine="0"/>
              <w:jc w:val="right"/>
            </w:pPr>
            <w:r>
              <w:t xml:space="preserve">0.000% </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61" w:firstLine="0"/>
              <w:jc w:val="center"/>
            </w:pPr>
            <w:r>
              <w:rPr>
                <w:b/>
              </w:rPr>
              <w:t xml:space="preserve">1.25 </w:t>
            </w:r>
          </w:p>
        </w:tc>
        <w:tc>
          <w:tcPr>
            <w:tcW w:w="1265"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1" w:firstLine="0"/>
              <w:jc w:val="right"/>
            </w:pPr>
            <w:r>
              <w:t xml:space="preserve">£109.38 </w:t>
            </w:r>
          </w:p>
        </w:tc>
        <w:tc>
          <w:tcPr>
            <w:tcW w:w="1209" w:type="dxa"/>
            <w:tcBorders>
              <w:top w:val="single" w:sz="4" w:space="0" w:color="000000"/>
              <w:left w:val="single" w:sz="4" w:space="0" w:color="000000"/>
              <w:bottom w:val="single" w:sz="4" w:space="0" w:color="000000"/>
              <w:right w:val="single" w:sz="8" w:space="0" w:color="000000"/>
            </w:tcBorders>
          </w:tcPr>
          <w:p w:rsidR="00CA157D" w:rsidRDefault="00935285">
            <w:pPr>
              <w:spacing w:after="0" w:line="259" w:lineRule="auto"/>
              <w:ind w:left="0" w:right="60" w:firstLine="0"/>
              <w:jc w:val="right"/>
            </w:pPr>
            <w:r>
              <w:t xml:space="preserve">£826.88 </w:t>
            </w:r>
          </w:p>
        </w:tc>
      </w:tr>
      <w:tr w:rsidR="00CA157D">
        <w:trPr>
          <w:trHeight w:val="359"/>
        </w:trPr>
        <w:tc>
          <w:tcPr>
            <w:tcW w:w="5292" w:type="dxa"/>
            <w:gridSpan w:val="3"/>
            <w:tcBorders>
              <w:top w:val="single" w:sz="4" w:space="0" w:color="000000"/>
              <w:left w:val="single" w:sz="8" w:space="0" w:color="000000"/>
              <w:bottom w:val="single" w:sz="8" w:space="0" w:color="000000"/>
              <w:right w:val="single" w:sz="4" w:space="0" w:color="000000"/>
            </w:tcBorders>
          </w:tcPr>
          <w:p w:rsidR="00CA157D" w:rsidRDefault="00935285">
            <w:pPr>
              <w:spacing w:after="0" w:line="259" w:lineRule="auto"/>
              <w:ind w:left="0" w:right="61" w:firstLine="0"/>
              <w:jc w:val="right"/>
            </w:pPr>
            <w:r>
              <w:rPr>
                <w:b/>
              </w:rPr>
              <w:t xml:space="preserve">Average Value to Tender Summary </w:t>
            </w:r>
          </w:p>
        </w:tc>
        <w:tc>
          <w:tcPr>
            <w:tcW w:w="1265" w:type="dxa"/>
            <w:tcBorders>
              <w:top w:val="single" w:sz="4" w:space="0" w:color="000000"/>
              <w:left w:val="single" w:sz="4" w:space="0" w:color="000000"/>
              <w:bottom w:val="single" w:sz="8" w:space="0" w:color="000000"/>
              <w:right w:val="single" w:sz="4" w:space="0" w:color="000000"/>
            </w:tcBorders>
          </w:tcPr>
          <w:p w:rsidR="00CA157D" w:rsidRDefault="00935285">
            <w:pPr>
              <w:spacing w:after="0" w:line="259" w:lineRule="auto"/>
              <w:ind w:left="0" w:right="61" w:firstLine="0"/>
              <w:jc w:val="right"/>
            </w:pPr>
            <w:r>
              <w:rPr>
                <w:b/>
              </w:rPr>
              <w:t xml:space="preserve">£74.405 </w:t>
            </w:r>
          </w:p>
        </w:tc>
        <w:tc>
          <w:tcPr>
            <w:tcW w:w="1209" w:type="dxa"/>
            <w:tcBorders>
              <w:top w:val="single" w:sz="4" w:space="0" w:color="000000"/>
              <w:left w:val="single" w:sz="4" w:space="0" w:color="000000"/>
              <w:bottom w:val="single" w:sz="8" w:space="0" w:color="000000"/>
              <w:right w:val="single" w:sz="8" w:space="0" w:color="000000"/>
            </w:tcBorders>
          </w:tcPr>
          <w:p w:rsidR="00CA157D" w:rsidRDefault="00935285">
            <w:pPr>
              <w:spacing w:after="0" w:line="259" w:lineRule="auto"/>
              <w:ind w:left="80" w:right="0" w:firstLine="0"/>
              <w:jc w:val="left"/>
            </w:pPr>
            <w:r>
              <w:rPr>
                <w:b/>
              </w:rPr>
              <w:t xml:space="preserve">£562.505 </w:t>
            </w:r>
          </w:p>
        </w:tc>
      </w:tr>
    </w:tbl>
    <w:p w:rsidR="00CA157D" w:rsidRDefault="00935285">
      <w:pPr>
        <w:spacing w:after="259" w:line="259" w:lineRule="auto"/>
        <w:ind w:left="1702" w:right="0" w:firstLine="0"/>
        <w:jc w:val="left"/>
      </w:pPr>
      <w:r>
        <w:t xml:space="preserve"> </w:t>
      </w:r>
    </w:p>
    <w:p w:rsidR="00CA157D" w:rsidRDefault="00935285">
      <w:pPr>
        <w:numPr>
          <w:ilvl w:val="2"/>
          <w:numId w:val="5"/>
        </w:numPr>
        <w:spacing w:after="11"/>
        <w:ind w:right="50" w:hanging="698"/>
      </w:pPr>
      <w:r>
        <w:t>The ‘Average Value to Tender Summary’ is the average (mean) of the grades adjusted for ‘Grade’ and ‘Regional Adjustment’.  The ‘Average Value to Tender Summary’ for both Hourly and Daily rates is automatically transferred in to the ‘Average Region Adjusted Values’ cells in the Time Charge Fees table</w:t>
      </w:r>
      <w:r>
        <w:rPr>
          <w:b/>
        </w:rPr>
        <w:t xml:space="preserve"> </w:t>
      </w:r>
      <w:r>
        <w:t xml:space="preserve">in </w:t>
      </w:r>
      <w:r>
        <w:rPr>
          <w:b/>
        </w:rPr>
        <w:t xml:space="preserve">Part 6: Tender Summary </w:t>
      </w:r>
      <w:r>
        <w:t xml:space="preserve">worksheet . This is illustrated in the table below: </w:t>
      </w:r>
    </w:p>
    <w:tbl>
      <w:tblPr>
        <w:tblStyle w:val="TableGrid"/>
        <w:tblW w:w="7794" w:type="dxa"/>
        <w:tblInd w:w="853" w:type="dxa"/>
        <w:tblCellMar>
          <w:top w:w="7" w:type="dxa"/>
          <w:left w:w="107" w:type="dxa"/>
          <w:right w:w="47" w:type="dxa"/>
        </w:tblCellMar>
        <w:tblLook w:val="04A0" w:firstRow="1" w:lastRow="0" w:firstColumn="1" w:lastColumn="0" w:noHBand="0" w:noVBand="1"/>
      </w:tblPr>
      <w:tblGrid>
        <w:gridCol w:w="2231"/>
        <w:gridCol w:w="2354"/>
        <w:gridCol w:w="1930"/>
        <w:gridCol w:w="1279"/>
      </w:tblGrid>
      <w:tr w:rsidR="00CA157D">
        <w:trPr>
          <w:trHeight w:val="404"/>
        </w:trPr>
        <w:tc>
          <w:tcPr>
            <w:tcW w:w="2231" w:type="dxa"/>
            <w:tcBorders>
              <w:top w:val="single" w:sz="4" w:space="0" w:color="000000"/>
              <w:left w:val="single" w:sz="4" w:space="0" w:color="000000"/>
              <w:bottom w:val="single" w:sz="4" w:space="0" w:color="000000"/>
              <w:right w:val="nil"/>
            </w:tcBorders>
            <w:shd w:val="clear" w:color="auto" w:fill="CCFFCC"/>
          </w:tcPr>
          <w:p w:rsidR="00CA157D" w:rsidRDefault="00935285">
            <w:pPr>
              <w:spacing w:after="0" w:line="259" w:lineRule="auto"/>
              <w:ind w:left="0" w:right="0" w:firstLine="0"/>
              <w:jc w:val="left"/>
            </w:pPr>
            <w:r>
              <w:rPr>
                <w:b/>
              </w:rPr>
              <w:t xml:space="preserve">Time Charge Fees </w:t>
            </w:r>
          </w:p>
        </w:tc>
        <w:tc>
          <w:tcPr>
            <w:tcW w:w="4284" w:type="dxa"/>
            <w:gridSpan w:val="2"/>
            <w:tcBorders>
              <w:top w:val="single" w:sz="4" w:space="0" w:color="000000"/>
              <w:left w:val="nil"/>
              <w:bottom w:val="single" w:sz="4" w:space="0" w:color="000000"/>
              <w:right w:val="nil"/>
            </w:tcBorders>
            <w:shd w:val="clear" w:color="auto" w:fill="CCFFCC"/>
          </w:tcPr>
          <w:p w:rsidR="00CA157D" w:rsidRDefault="00CA157D">
            <w:pPr>
              <w:spacing w:after="160" w:line="259" w:lineRule="auto"/>
              <w:ind w:left="0" w:right="0" w:firstLine="0"/>
              <w:jc w:val="left"/>
            </w:pPr>
          </w:p>
        </w:tc>
        <w:tc>
          <w:tcPr>
            <w:tcW w:w="1279" w:type="dxa"/>
            <w:tcBorders>
              <w:top w:val="single" w:sz="4" w:space="0" w:color="000000"/>
              <w:left w:val="nil"/>
              <w:bottom w:val="single" w:sz="4" w:space="0" w:color="000000"/>
              <w:right w:val="single" w:sz="4" w:space="0" w:color="000000"/>
            </w:tcBorders>
            <w:shd w:val="clear" w:color="auto" w:fill="CCFFCC"/>
          </w:tcPr>
          <w:p w:rsidR="00CA157D" w:rsidRDefault="00CA157D">
            <w:pPr>
              <w:spacing w:after="160" w:line="259" w:lineRule="auto"/>
              <w:ind w:left="0" w:right="0" w:firstLine="0"/>
              <w:jc w:val="left"/>
            </w:pPr>
          </w:p>
        </w:tc>
      </w:tr>
      <w:tr w:rsidR="00CA157D">
        <w:trPr>
          <w:trHeight w:val="1395"/>
        </w:trPr>
        <w:tc>
          <w:tcPr>
            <w:tcW w:w="2231" w:type="dxa"/>
            <w:tcBorders>
              <w:top w:val="single" w:sz="4" w:space="0" w:color="000000"/>
              <w:left w:val="single" w:sz="4" w:space="0" w:color="000000"/>
              <w:bottom w:val="single" w:sz="4" w:space="0" w:color="000000"/>
              <w:right w:val="nil"/>
            </w:tcBorders>
            <w:shd w:val="clear" w:color="auto" w:fill="CCFFCC"/>
          </w:tcPr>
          <w:p w:rsidR="00CA157D" w:rsidRDefault="00935285">
            <w:pPr>
              <w:spacing w:after="0" w:line="259" w:lineRule="auto"/>
              <w:ind w:left="0" w:right="0" w:firstLine="0"/>
              <w:jc w:val="left"/>
            </w:pPr>
            <w:r>
              <w:rPr>
                <w:b/>
              </w:rPr>
              <w:t xml:space="preserve">Discipline </w:t>
            </w:r>
          </w:p>
        </w:tc>
        <w:tc>
          <w:tcPr>
            <w:tcW w:w="2355" w:type="dxa"/>
            <w:tcBorders>
              <w:top w:val="single" w:sz="4" w:space="0" w:color="000000"/>
              <w:left w:val="nil"/>
              <w:bottom w:val="single" w:sz="4" w:space="0" w:color="000000"/>
              <w:right w:val="single" w:sz="4" w:space="0" w:color="000000"/>
            </w:tcBorders>
            <w:shd w:val="clear" w:color="auto" w:fill="CCFFCC"/>
          </w:tcPr>
          <w:p w:rsidR="00CA157D" w:rsidRDefault="00CA157D">
            <w:pPr>
              <w:spacing w:after="160" w:line="259" w:lineRule="auto"/>
              <w:ind w:left="0" w:right="0" w:firstLine="0"/>
              <w:jc w:val="left"/>
            </w:pPr>
          </w:p>
        </w:tc>
        <w:tc>
          <w:tcPr>
            <w:tcW w:w="1930"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0" w:firstLine="0"/>
              <w:jc w:val="center"/>
            </w:pPr>
            <w:r>
              <w:rPr>
                <w:b/>
              </w:rPr>
              <w:t xml:space="preserve">Average Region Adjusted Values </w:t>
            </w:r>
          </w:p>
        </w:tc>
        <w:tc>
          <w:tcPr>
            <w:tcW w:w="1279"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25" w:right="0" w:firstLine="0"/>
            </w:pPr>
            <w:r>
              <w:rPr>
                <w:b/>
              </w:rPr>
              <w:t xml:space="preserve">Maximum </w:t>
            </w:r>
          </w:p>
          <w:p w:rsidR="00CA157D" w:rsidRDefault="00935285">
            <w:pPr>
              <w:spacing w:after="0" w:line="259" w:lineRule="auto"/>
              <w:ind w:left="0" w:right="62" w:firstLine="0"/>
              <w:jc w:val="center"/>
            </w:pPr>
            <w:r>
              <w:rPr>
                <w:b/>
              </w:rPr>
              <w:t xml:space="preserve">Time </w:t>
            </w:r>
          </w:p>
          <w:p w:rsidR="00CA157D" w:rsidRDefault="00935285">
            <w:pPr>
              <w:spacing w:after="0" w:line="259" w:lineRule="auto"/>
              <w:ind w:left="0" w:right="62" w:firstLine="0"/>
              <w:jc w:val="center"/>
            </w:pPr>
            <w:r>
              <w:rPr>
                <w:b/>
              </w:rPr>
              <w:t xml:space="preserve">Charge </w:t>
            </w:r>
          </w:p>
          <w:p w:rsidR="00CA157D" w:rsidRDefault="00935285">
            <w:pPr>
              <w:spacing w:after="0" w:line="259" w:lineRule="auto"/>
              <w:ind w:left="0" w:right="0" w:firstLine="0"/>
              <w:jc w:val="center"/>
            </w:pPr>
            <w:r>
              <w:rPr>
                <w:b/>
              </w:rPr>
              <w:t xml:space="preserve">Fee Score by Rate </w:t>
            </w:r>
          </w:p>
        </w:tc>
      </w:tr>
      <w:tr w:rsidR="00CA157D">
        <w:trPr>
          <w:trHeight w:val="384"/>
        </w:trPr>
        <w:tc>
          <w:tcPr>
            <w:tcW w:w="2231" w:type="dxa"/>
            <w:tcBorders>
              <w:top w:val="single" w:sz="4" w:space="0" w:color="000000"/>
              <w:left w:val="single" w:sz="4" w:space="0" w:color="000000"/>
              <w:bottom w:val="single" w:sz="4" w:space="0" w:color="000000"/>
              <w:right w:val="nil"/>
            </w:tcBorders>
          </w:tcPr>
          <w:p w:rsidR="00CA157D" w:rsidRDefault="00935285">
            <w:pPr>
              <w:spacing w:after="0" w:line="259" w:lineRule="auto"/>
              <w:ind w:left="0" w:right="0" w:firstLine="0"/>
              <w:jc w:val="left"/>
            </w:pPr>
            <w:r>
              <w:t xml:space="preserve">Hourly Rates </w:t>
            </w:r>
          </w:p>
        </w:tc>
        <w:tc>
          <w:tcPr>
            <w:tcW w:w="2355" w:type="dxa"/>
            <w:tcBorders>
              <w:top w:val="single" w:sz="4" w:space="0" w:color="000000"/>
              <w:left w:val="nil"/>
              <w:bottom w:val="single" w:sz="4" w:space="0" w:color="000000"/>
              <w:right w:val="single" w:sz="4" w:space="0" w:color="000000"/>
            </w:tcBorders>
          </w:tcPr>
          <w:p w:rsidR="00CA157D" w:rsidRDefault="00CA157D">
            <w:pPr>
              <w:spacing w:after="160" w:line="259" w:lineRule="auto"/>
              <w:ind w:left="0" w:right="0" w:firstLine="0"/>
              <w:jc w:val="left"/>
            </w:pPr>
          </w:p>
        </w:tc>
        <w:tc>
          <w:tcPr>
            <w:tcW w:w="193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60" w:firstLine="0"/>
              <w:jc w:val="center"/>
            </w:pPr>
            <w:r>
              <w:t xml:space="preserve">£74.405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57" w:firstLine="0"/>
              <w:jc w:val="center"/>
            </w:pPr>
            <w:r>
              <w:t xml:space="preserve">2.500% </w:t>
            </w:r>
          </w:p>
        </w:tc>
      </w:tr>
      <w:tr w:rsidR="00CA157D">
        <w:trPr>
          <w:trHeight w:val="382"/>
        </w:trPr>
        <w:tc>
          <w:tcPr>
            <w:tcW w:w="2231" w:type="dxa"/>
            <w:tcBorders>
              <w:top w:val="single" w:sz="4" w:space="0" w:color="000000"/>
              <w:left w:val="single" w:sz="4" w:space="0" w:color="000000"/>
              <w:bottom w:val="single" w:sz="4" w:space="0" w:color="000000"/>
              <w:right w:val="nil"/>
            </w:tcBorders>
          </w:tcPr>
          <w:p w:rsidR="00CA157D" w:rsidRDefault="00935285">
            <w:pPr>
              <w:spacing w:after="0" w:line="259" w:lineRule="auto"/>
              <w:ind w:left="0" w:right="0" w:firstLine="0"/>
              <w:jc w:val="left"/>
            </w:pPr>
            <w:r>
              <w:t xml:space="preserve">Daily Rates </w:t>
            </w:r>
          </w:p>
        </w:tc>
        <w:tc>
          <w:tcPr>
            <w:tcW w:w="2355" w:type="dxa"/>
            <w:tcBorders>
              <w:top w:val="single" w:sz="4" w:space="0" w:color="000000"/>
              <w:left w:val="nil"/>
              <w:bottom w:val="single" w:sz="4" w:space="0" w:color="000000"/>
              <w:right w:val="single" w:sz="4" w:space="0" w:color="000000"/>
            </w:tcBorders>
          </w:tcPr>
          <w:p w:rsidR="00CA157D" w:rsidRDefault="00CA157D">
            <w:pPr>
              <w:spacing w:after="160" w:line="259" w:lineRule="auto"/>
              <w:ind w:left="0" w:right="0" w:firstLine="0"/>
              <w:jc w:val="left"/>
            </w:pPr>
          </w:p>
        </w:tc>
        <w:tc>
          <w:tcPr>
            <w:tcW w:w="193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7" w:firstLine="0"/>
              <w:jc w:val="center"/>
            </w:pPr>
            <w:r>
              <w:t xml:space="preserve">£562.505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57" w:firstLine="0"/>
              <w:jc w:val="center"/>
            </w:pPr>
            <w:r>
              <w:t xml:space="preserve">2.500% </w:t>
            </w:r>
          </w:p>
        </w:tc>
      </w:tr>
      <w:tr w:rsidR="00CA157D">
        <w:trPr>
          <w:trHeight w:val="383"/>
        </w:trPr>
        <w:tc>
          <w:tcPr>
            <w:tcW w:w="2231" w:type="dxa"/>
            <w:tcBorders>
              <w:top w:val="single" w:sz="4" w:space="0" w:color="000000"/>
              <w:left w:val="single" w:sz="4" w:space="0" w:color="000000"/>
              <w:bottom w:val="single" w:sz="4" w:space="0" w:color="000000"/>
              <w:right w:val="nil"/>
            </w:tcBorders>
          </w:tcPr>
          <w:p w:rsidR="00CA157D" w:rsidRDefault="00CA157D">
            <w:pPr>
              <w:spacing w:after="160" w:line="259" w:lineRule="auto"/>
              <w:ind w:left="0" w:right="0" w:firstLine="0"/>
              <w:jc w:val="left"/>
            </w:pPr>
          </w:p>
        </w:tc>
        <w:tc>
          <w:tcPr>
            <w:tcW w:w="4284" w:type="dxa"/>
            <w:gridSpan w:val="2"/>
            <w:tcBorders>
              <w:top w:val="single" w:sz="4" w:space="0" w:color="000000"/>
              <w:left w:val="nil"/>
              <w:bottom w:val="single" w:sz="4" w:space="0" w:color="000000"/>
              <w:right w:val="single" w:sz="4" w:space="0" w:color="000000"/>
            </w:tcBorders>
          </w:tcPr>
          <w:p w:rsidR="00CA157D" w:rsidRDefault="00935285">
            <w:pPr>
              <w:spacing w:after="0" w:line="259" w:lineRule="auto"/>
              <w:ind w:left="0" w:right="137" w:firstLine="0"/>
              <w:jc w:val="right"/>
            </w:pPr>
            <w:r>
              <w:rPr>
                <w:b/>
              </w:rPr>
              <w:t xml:space="preserve">Maximum Time Charge Fee Score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57" w:firstLine="0"/>
              <w:jc w:val="center"/>
            </w:pPr>
            <w:r>
              <w:rPr>
                <w:b/>
              </w:rPr>
              <w:t xml:space="preserve">5.000% </w:t>
            </w:r>
          </w:p>
        </w:tc>
      </w:tr>
    </w:tbl>
    <w:p w:rsidR="00CA157D" w:rsidRDefault="00935285">
      <w:pPr>
        <w:spacing w:after="0" w:line="259" w:lineRule="auto"/>
        <w:ind w:left="0" w:right="0" w:firstLine="0"/>
        <w:jc w:val="left"/>
      </w:pPr>
      <w:r>
        <w:t xml:space="preserve"> </w:t>
      </w:r>
    </w:p>
    <w:p w:rsidR="00CA157D" w:rsidRDefault="00935285">
      <w:pPr>
        <w:numPr>
          <w:ilvl w:val="2"/>
          <w:numId w:val="5"/>
        </w:numPr>
        <w:spacing w:after="274"/>
        <w:ind w:right="50" w:hanging="698"/>
      </w:pPr>
      <w:r>
        <w:t xml:space="preserve">Potential Providers shall note that all calculations within the Price Model workbook in order to arrive at the final ‘Average Region Adjusted Value’ for Time Charge Fees are based on rounding the calculations to two decimal places.  The calculated ‘Average Region Adjusted Value’ taken to </w:t>
      </w:r>
      <w:r>
        <w:rPr>
          <w:b/>
        </w:rPr>
        <w:t>Part 6: Tender Summary Worksheet</w:t>
      </w:r>
      <w:r>
        <w:t xml:space="preserve"> will be evaluated against all other Potential Providers’ ‘Average Region Adjusted Value’ in a separate evaluation workbook and is set out below at paragraph 17.  </w:t>
      </w:r>
    </w:p>
    <w:p w:rsidR="00CA157D" w:rsidRDefault="00935285">
      <w:pPr>
        <w:spacing w:after="256" w:line="259" w:lineRule="auto"/>
        <w:ind w:left="1418" w:right="0" w:firstLine="0"/>
        <w:jc w:val="left"/>
      </w:pPr>
      <w:r>
        <w:t xml:space="preserve"> </w:t>
      </w:r>
    </w:p>
    <w:p w:rsidR="00CA157D" w:rsidRDefault="00935285">
      <w:pPr>
        <w:pStyle w:val="Heading2"/>
        <w:tabs>
          <w:tab w:val="center" w:pos="2024"/>
        </w:tabs>
        <w:spacing w:after="105" w:line="259" w:lineRule="auto"/>
        <w:ind w:left="-15" w:firstLine="0"/>
        <w:jc w:val="left"/>
      </w:pPr>
      <w:r>
        <w:t xml:space="preserve">17. </w:t>
      </w:r>
      <w:r>
        <w:tab/>
      </w:r>
      <w:r>
        <w:rPr>
          <w:u w:val="single" w:color="000000"/>
        </w:rPr>
        <w:t>Price Evaluation Process</w:t>
      </w:r>
      <w:r>
        <w:t xml:space="preserve"> </w:t>
      </w:r>
    </w:p>
    <w:p w:rsidR="00CA157D" w:rsidRDefault="00935285">
      <w:pPr>
        <w:pStyle w:val="Heading3"/>
        <w:spacing w:after="105" w:line="259" w:lineRule="auto"/>
        <w:ind w:left="-5"/>
        <w:jc w:val="left"/>
      </w:pPr>
      <w:r>
        <w:t xml:space="preserve">17.1. </w:t>
      </w:r>
      <w:r>
        <w:rPr>
          <w:u w:val="single" w:color="000000"/>
        </w:rPr>
        <w:t>Introduction</w:t>
      </w:r>
      <w:r>
        <w:t xml:space="preserve"> </w:t>
      </w:r>
    </w:p>
    <w:p w:rsidR="00CA157D" w:rsidRDefault="00935285">
      <w:pPr>
        <w:ind w:left="1418" w:right="50" w:hanging="698"/>
      </w:pPr>
      <w:r>
        <w:t xml:space="preserve">17.1.1. The Potential Provider’s score collated within the Tender Summary sheet is transferred to the Price Evaluation workbook and evaluated against all other Potential Providers’ submitted Tenders. </w:t>
      </w:r>
    </w:p>
    <w:p w:rsidR="00CA157D" w:rsidRDefault="00935285">
      <w:pPr>
        <w:ind w:left="1418" w:right="50" w:hanging="698"/>
      </w:pPr>
      <w:r>
        <w:t>17.1.2. The Authority will total all Potential Providers’ scores within the evaluation workbook.</w:t>
      </w:r>
      <w:r>
        <w:rPr>
          <w:b/>
        </w:rPr>
        <w:t xml:space="preserve"> </w:t>
      </w:r>
    </w:p>
    <w:p w:rsidR="00CA157D" w:rsidRDefault="00935285">
      <w:pPr>
        <w:ind w:left="1418" w:right="50" w:hanging="698"/>
      </w:pPr>
      <w:r>
        <w:t>17.1.3. Potential Providers are reminded that bids will be assessed against a median threshold in accordance with paragraph 5 Abnormally Low Tenders.</w:t>
      </w:r>
      <w:r>
        <w:rPr>
          <w:b/>
        </w:rPr>
        <w:t xml:space="preserve"> </w:t>
      </w:r>
    </w:p>
    <w:p w:rsidR="00CA157D" w:rsidRDefault="00935285">
      <w:pPr>
        <w:pStyle w:val="Heading3"/>
        <w:spacing w:after="105" w:line="259" w:lineRule="auto"/>
        <w:ind w:left="-5"/>
        <w:jc w:val="left"/>
      </w:pPr>
      <w:r>
        <w:t xml:space="preserve">17.2. </w:t>
      </w:r>
      <w:r>
        <w:rPr>
          <w:u w:val="single" w:color="000000"/>
        </w:rPr>
        <w:t>Percentage Fees</w:t>
      </w:r>
      <w:r>
        <w:t xml:space="preserve"> </w:t>
      </w:r>
    </w:p>
    <w:p w:rsidR="00CA157D" w:rsidRDefault="00935285">
      <w:pPr>
        <w:ind w:left="1418" w:right="50" w:hanging="698"/>
      </w:pPr>
      <w:r>
        <w:t xml:space="preserve">17.2.1. Potential Providers’ ‘Average Fee Percentage’ for each of the 6 Procurement Types is evaluated against all other Potential Providers’ ‘Average Fee Percentage’ to establish their weighted score for each Core Service Discipline. </w:t>
      </w:r>
    </w:p>
    <w:p w:rsidR="00CA157D" w:rsidRDefault="00935285">
      <w:pPr>
        <w:spacing w:after="289"/>
        <w:ind w:left="1418" w:right="50" w:hanging="698"/>
      </w:pPr>
      <w:r>
        <w:t xml:space="preserve">17.2.2. The Potential Provider with the lowest ‘Average Fee Percentage’, shall be awarded the ‘Maximum Percentage Project Fee Score’ for that Procurement Type. The remaining Potential Providers shall be awarded a ‘Weighted Score’ of the ‘Maximum Percentage Project Fee Score’ equal to their Price, relative to the lowest Price submitted. The calculation used is as follows: </w:t>
      </w:r>
    </w:p>
    <w:p w:rsidR="00CA157D" w:rsidRDefault="00935285">
      <w:pPr>
        <w:spacing w:after="954" w:line="259" w:lineRule="auto"/>
        <w:ind w:left="1224" w:right="0" w:firstLine="0"/>
        <w:jc w:val="left"/>
      </w:pPr>
      <w:r>
        <w:t xml:space="preserve"> </w:t>
      </w:r>
      <w:r>
        <w:rPr>
          <w:rFonts w:ascii="Calibri" w:eastAsia="Calibri" w:hAnsi="Calibri" w:cs="Calibri"/>
        </w:rPr>
        <w:t xml:space="preserve"> </w:t>
      </w:r>
    </w:p>
    <w:tbl>
      <w:tblPr>
        <w:tblStyle w:val="TableGrid"/>
        <w:tblpPr w:vertAnchor="text" w:tblpX="3651" w:tblpY="-906"/>
        <w:tblOverlap w:val="never"/>
        <w:tblW w:w="4422" w:type="dxa"/>
        <w:tblInd w:w="0" w:type="dxa"/>
        <w:tblCellMar>
          <w:top w:w="17" w:type="dxa"/>
          <w:right w:w="115" w:type="dxa"/>
        </w:tblCellMar>
        <w:tblLook w:val="04A0" w:firstRow="1" w:lastRow="0" w:firstColumn="1" w:lastColumn="0" w:noHBand="0" w:noVBand="1"/>
      </w:tblPr>
      <w:tblGrid>
        <w:gridCol w:w="2274"/>
        <w:gridCol w:w="487"/>
        <w:gridCol w:w="1661"/>
      </w:tblGrid>
      <w:tr w:rsidR="00CA157D">
        <w:trPr>
          <w:trHeight w:val="850"/>
        </w:trPr>
        <w:tc>
          <w:tcPr>
            <w:tcW w:w="2273" w:type="dxa"/>
            <w:tcBorders>
              <w:top w:val="single" w:sz="8" w:space="0" w:color="000000"/>
              <w:left w:val="single" w:sz="8" w:space="0" w:color="000000"/>
              <w:bottom w:val="single" w:sz="8" w:space="0" w:color="000000"/>
              <w:right w:val="nil"/>
            </w:tcBorders>
            <w:vAlign w:val="center"/>
          </w:tcPr>
          <w:p w:rsidR="00CA157D" w:rsidRDefault="00935285">
            <w:pPr>
              <w:spacing w:after="0" w:line="259" w:lineRule="auto"/>
              <w:ind w:left="108" w:right="358" w:firstLine="0"/>
              <w:jc w:val="left"/>
            </w:pPr>
            <w:r>
              <w:rPr>
                <w:sz w:val="18"/>
              </w:rPr>
              <w:t xml:space="preserve">Lowest ‘Average Fee Percentage’ </w:t>
            </w:r>
          </w:p>
        </w:tc>
        <w:tc>
          <w:tcPr>
            <w:tcW w:w="487" w:type="dxa"/>
            <w:tcBorders>
              <w:top w:val="single" w:sz="8" w:space="0" w:color="000000"/>
              <w:left w:val="nil"/>
              <w:bottom w:val="single" w:sz="8" w:space="0" w:color="000000"/>
              <w:right w:val="nil"/>
            </w:tcBorders>
            <w:vAlign w:val="center"/>
          </w:tcPr>
          <w:p w:rsidR="00CA157D" w:rsidRDefault="00935285">
            <w:pPr>
              <w:spacing w:after="0" w:line="259" w:lineRule="auto"/>
              <w:ind w:left="0" w:right="0" w:firstLine="0"/>
              <w:jc w:val="left"/>
            </w:pPr>
            <w:r>
              <w:rPr>
                <w:sz w:val="18"/>
              </w:rPr>
              <w:t xml:space="preserve">x </w:t>
            </w:r>
          </w:p>
        </w:tc>
        <w:tc>
          <w:tcPr>
            <w:tcW w:w="1661" w:type="dxa"/>
            <w:tcBorders>
              <w:top w:val="single" w:sz="8" w:space="0" w:color="000000"/>
              <w:left w:val="nil"/>
              <w:bottom w:val="single" w:sz="8" w:space="0" w:color="000000"/>
              <w:right w:val="single" w:sz="8" w:space="0" w:color="000000"/>
            </w:tcBorders>
          </w:tcPr>
          <w:p w:rsidR="00CA157D" w:rsidRDefault="00935285">
            <w:pPr>
              <w:spacing w:after="0" w:line="259" w:lineRule="auto"/>
              <w:ind w:left="146" w:right="0" w:firstLine="0"/>
              <w:jc w:val="left"/>
            </w:pPr>
            <w:r>
              <w:rPr>
                <w:sz w:val="18"/>
              </w:rPr>
              <w:t xml:space="preserve">Maximum </w:t>
            </w:r>
          </w:p>
          <w:p w:rsidR="00CA157D" w:rsidRDefault="00935285">
            <w:pPr>
              <w:spacing w:after="0" w:line="239" w:lineRule="auto"/>
              <w:ind w:left="146" w:right="0" w:firstLine="0"/>
              <w:jc w:val="left"/>
            </w:pPr>
            <w:r>
              <w:rPr>
                <w:sz w:val="18"/>
              </w:rPr>
              <w:t xml:space="preserve">Percentage Project Fee </w:t>
            </w:r>
          </w:p>
          <w:p w:rsidR="00CA157D" w:rsidRDefault="00935285">
            <w:pPr>
              <w:spacing w:after="0" w:line="259" w:lineRule="auto"/>
              <w:ind w:left="146" w:right="0" w:firstLine="0"/>
              <w:jc w:val="left"/>
            </w:pPr>
            <w:r>
              <w:rPr>
                <w:sz w:val="18"/>
              </w:rPr>
              <w:t xml:space="preserve">Score </w:t>
            </w:r>
          </w:p>
        </w:tc>
      </w:tr>
    </w:tbl>
    <w:tbl>
      <w:tblPr>
        <w:tblStyle w:val="TableGrid"/>
        <w:tblpPr w:vertAnchor="text" w:tblpX="1411" w:tblpY="-57"/>
        <w:tblOverlap w:val="never"/>
        <w:tblW w:w="1621" w:type="dxa"/>
        <w:tblInd w:w="0" w:type="dxa"/>
        <w:tblCellMar>
          <w:left w:w="106" w:type="dxa"/>
          <w:bottom w:w="10" w:type="dxa"/>
          <w:right w:w="104" w:type="dxa"/>
        </w:tblCellMar>
        <w:tblLook w:val="04A0" w:firstRow="1" w:lastRow="0" w:firstColumn="1" w:lastColumn="0" w:noHBand="0" w:noVBand="1"/>
      </w:tblPr>
      <w:tblGrid>
        <w:gridCol w:w="1621"/>
      </w:tblGrid>
      <w:tr w:rsidR="00CA157D">
        <w:trPr>
          <w:trHeight w:val="319"/>
        </w:trPr>
        <w:tc>
          <w:tcPr>
            <w:tcW w:w="1621" w:type="dxa"/>
            <w:tcBorders>
              <w:top w:val="single" w:sz="8" w:space="0" w:color="000000"/>
              <w:left w:val="single" w:sz="8" w:space="0" w:color="000000"/>
              <w:bottom w:val="single" w:sz="8" w:space="0" w:color="000000"/>
              <w:right w:val="single" w:sz="8" w:space="0" w:color="000000"/>
            </w:tcBorders>
            <w:vAlign w:val="bottom"/>
          </w:tcPr>
          <w:p w:rsidR="00CA157D" w:rsidRDefault="00935285">
            <w:pPr>
              <w:spacing w:after="0" w:line="259" w:lineRule="auto"/>
              <w:ind w:left="0" w:right="0" w:firstLine="0"/>
              <w:jc w:val="left"/>
            </w:pPr>
            <w:r>
              <w:rPr>
                <w:sz w:val="18"/>
              </w:rPr>
              <w:t xml:space="preserve">‘Weighted Score’ </w:t>
            </w:r>
          </w:p>
        </w:tc>
      </w:tr>
    </w:tbl>
    <w:p w:rsidR="00CA157D" w:rsidRDefault="00935285">
      <w:pPr>
        <w:tabs>
          <w:tab w:val="center" w:pos="5862"/>
        </w:tabs>
        <w:spacing w:after="63" w:line="259" w:lineRule="auto"/>
        <w:ind w:left="-15" w:right="0" w:firstLine="0"/>
        <w:jc w:val="left"/>
      </w:pPr>
      <w:r>
        <w:rPr>
          <w:sz w:val="34"/>
          <w:vertAlign w:val="superscript"/>
        </w:rPr>
        <w:t xml:space="preserve"> </w:t>
      </w:r>
      <w:r>
        <w:rPr>
          <w:sz w:val="18"/>
        </w:rPr>
        <w:t xml:space="preserve">= </w:t>
      </w:r>
      <w:r>
        <w:rPr>
          <w:sz w:val="18"/>
        </w:rPr>
        <w:tab/>
        <w:t xml:space="preserve">------------------------- </w:t>
      </w:r>
    </w:p>
    <w:p w:rsidR="00CA157D" w:rsidRDefault="00935285">
      <w:pPr>
        <w:spacing w:after="0" w:line="259" w:lineRule="auto"/>
        <w:ind w:left="0" w:right="0" w:firstLine="0"/>
        <w:jc w:val="left"/>
      </w:pPr>
      <w:r>
        <w:t xml:space="preserve"> </w:t>
      </w:r>
    </w:p>
    <w:p w:rsidR="00CA157D" w:rsidRDefault="00935285">
      <w:pPr>
        <w:tabs>
          <w:tab w:val="center" w:pos="2218"/>
          <w:tab w:val="center" w:pos="3137"/>
          <w:tab w:val="center" w:pos="5862"/>
        </w:tabs>
        <w:spacing w:after="99" w:line="259" w:lineRule="auto"/>
        <w:ind w:left="0" w:right="0" w:firstLine="0"/>
        <w:jc w:val="left"/>
      </w:pPr>
      <w:r>
        <w:rPr>
          <w:rFonts w:ascii="Calibri" w:eastAsia="Calibri" w:hAnsi="Calibri" w:cs="Calibri"/>
        </w:rPr>
        <w:tab/>
      </w: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rPr>
        <w:t xml:space="preserve">Potential Provider's 'Average Fee Percentage’ </w:t>
      </w:r>
    </w:p>
    <w:p w:rsidR="00CA157D" w:rsidRDefault="00935285">
      <w:pPr>
        <w:spacing w:after="256" w:line="259" w:lineRule="auto"/>
        <w:ind w:left="0" w:right="0" w:firstLine="0"/>
        <w:jc w:val="left"/>
      </w:pPr>
      <w:r>
        <w:t xml:space="preserve"> </w:t>
      </w:r>
    </w:p>
    <w:p w:rsidR="00CA157D" w:rsidRDefault="00935285">
      <w:pPr>
        <w:spacing w:after="259" w:line="259" w:lineRule="auto"/>
        <w:ind w:left="1418" w:right="0" w:firstLine="0"/>
        <w:jc w:val="left"/>
      </w:pPr>
      <w:r>
        <w:rPr>
          <w:b/>
        </w:rPr>
        <w:t xml:space="preserve"> </w:t>
      </w:r>
    </w:p>
    <w:p w:rsidR="00CA157D" w:rsidRDefault="00935285">
      <w:pPr>
        <w:spacing w:after="259" w:line="259" w:lineRule="auto"/>
        <w:ind w:left="1418" w:right="0" w:firstLine="0"/>
        <w:jc w:val="left"/>
      </w:pPr>
      <w:r>
        <w:rPr>
          <w:b/>
        </w:rPr>
        <w:t xml:space="preserve"> </w:t>
      </w:r>
    </w:p>
    <w:p w:rsidR="00CA157D" w:rsidRDefault="00935285">
      <w:pPr>
        <w:pStyle w:val="Heading2"/>
        <w:spacing w:after="285"/>
        <w:ind w:left="1428" w:right="49"/>
      </w:pPr>
      <w:r>
        <w:t xml:space="preserve">Worked example of ‘Average Fee Percentage’ score calculation for Design &amp; Build Single Stage </w:t>
      </w:r>
    </w:p>
    <w:p w:rsidR="00CA157D" w:rsidRDefault="00935285">
      <w:pPr>
        <w:spacing w:after="0"/>
        <w:ind w:left="1428" w:right="50"/>
      </w:pPr>
      <w:r>
        <w:t xml:space="preserve">i. Supplier 2 submits the lowest ‘Average Fee Percentage’ of 15.000%. Supplier 2 is awarded the ‘Maximum Percentage Project Fee Score’ of 3.500%; ii. Supplier 1 submits an ‘Average Fee Percentage’ of 20.000%. As the Tender is higher than Supplier 2’s price, Supplier 1 is awarded 75% of the ‘Maximum Percentage Project Fee Score’, namely a ‘Weighted Score’ of </w:t>
      </w:r>
    </w:p>
    <w:p w:rsidR="00CA157D" w:rsidRDefault="00935285">
      <w:pPr>
        <w:spacing w:after="284"/>
        <w:ind w:left="1428" w:right="50"/>
      </w:pPr>
      <w:r>
        <w:t xml:space="preserve">2.630%; </w:t>
      </w:r>
    </w:p>
    <w:p w:rsidR="00CA157D" w:rsidRDefault="00935285">
      <w:pPr>
        <w:ind w:left="1428" w:right="50"/>
      </w:pPr>
      <w:r>
        <w:t xml:space="preserve">iii. Supplier 3 submits an ‘Average Fee Percentage’ of 18.000% and is awarded 83.33% of the ‘Maximum Percentage Project Fee Score’, namely a ‘Weighted Score’ of 2.920%. </w:t>
      </w:r>
    </w:p>
    <w:p w:rsidR="00CA157D" w:rsidRDefault="00935285">
      <w:pPr>
        <w:spacing w:after="158" w:line="259" w:lineRule="auto"/>
        <w:ind w:left="0" w:right="0" w:firstLine="0"/>
        <w:jc w:val="left"/>
      </w:pPr>
      <w:r>
        <w:t xml:space="preserve"> </w:t>
      </w:r>
    </w:p>
    <w:tbl>
      <w:tblPr>
        <w:tblStyle w:val="TableGrid"/>
        <w:tblpPr w:vertAnchor="text" w:tblpX="1657" w:tblpY="71"/>
        <w:tblOverlap w:val="never"/>
        <w:tblW w:w="7365" w:type="dxa"/>
        <w:tblInd w:w="0" w:type="dxa"/>
        <w:tblCellMar>
          <w:top w:w="73" w:type="dxa"/>
          <w:left w:w="107" w:type="dxa"/>
          <w:bottom w:w="7" w:type="dxa"/>
          <w:right w:w="26" w:type="dxa"/>
        </w:tblCellMar>
        <w:tblLook w:val="04A0" w:firstRow="1" w:lastRow="0" w:firstColumn="1" w:lastColumn="0" w:noHBand="0" w:noVBand="1"/>
      </w:tblPr>
      <w:tblGrid>
        <w:gridCol w:w="2087"/>
        <w:gridCol w:w="1324"/>
        <w:gridCol w:w="1598"/>
        <w:gridCol w:w="1159"/>
        <w:gridCol w:w="1197"/>
      </w:tblGrid>
      <w:tr w:rsidR="00CA157D">
        <w:trPr>
          <w:trHeight w:val="335"/>
        </w:trPr>
        <w:tc>
          <w:tcPr>
            <w:tcW w:w="2087" w:type="dxa"/>
            <w:tcBorders>
              <w:top w:val="single" w:sz="4" w:space="0" w:color="000000"/>
              <w:left w:val="single" w:sz="4" w:space="0" w:color="000000"/>
              <w:bottom w:val="single" w:sz="4" w:space="0" w:color="000000"/>
              <w:right w:val="nil"/>
            </w:tcBorders>
            <w:shd w:val="clear" w:color="auto" w:fill="CCFFCC"/>
          </w:tcPr>
          <w:p w:rsidR="00CA157D" w:rsidRDefault="00CA157D">
            <w:pPr>
              <w:spacing w:after="160" w:line="259" w:lineRule="auto"/>
              <w:ind w:left="0" w:right="0" w:firstLine="0"/>
              <w:jc w:val="left"/>
            </w:pPr>
          </w:p>
        </w:tc>
        <w:tc>
          <w:tcPr>
            <w:tcW w:w="2921" w:type="dxa"/>
            <w:gridSpan w:val="2"/>
            <w:tcBorders>
              <w:top w:val="single" w:sz="4" w:space="0" w:color="000000"/>
              <w:left w:val="nil"/>
              <w:bottom w:val="single" w:sz="4" w:space="0" w:color="000000"/>
              <w:right w:val="nil"/>
            </w:tcBorders>
            <w:shd w:val="clear" w:color="auto" w:fill="CCFFCC"/>
          </w:tcPr>
          <w:p w:rsidR="00CA157D" w:rsidRDefault="00935285">
            <w:pPr>
              <w:spacing w:after="0" w:line="259" w:lineRule="auto"/>
              <w:ind w:left="0" w:right="59" w:firstLine="0"/>
              <w:jc w:val="right"/>
            </w:pPr>
            <w:r>
              <w:rPr>
                <w:rFonts w:ascii="Calibri" w:eastAsia="Calibri" w:hAnsi="Calibri" w:cs="Calibri"/>
                <w:b/>
              </w:rPr>
              <w:t xml:space="preserve">Design &amp; Build Single Stage </w:t>
            </w:r>
          </w:p>
        </w:tc>
        <w:tc>
          <w:tcPr>
            <w:tcW w:w="1159" w:type="dxa"/>
            <w:tcBorders>
              <w:top w:val="single" w:sz="4" w:space="0" w:color="000000"/>
              <w:left w:val="nil"/>
              <w:bottom w:val="single" w:sz="4" w:space="0" w:color="000000"/>
              <w:right w:val="nil"/>
            </w:tcBorders>
            <w:shd w:val="clear" w:color="auto" w:fill="CCFFCC"/>
          </w:tcPr>
          <w:p w:rsidR="00CA157D" w:rsidRDefault="00CA157D">
            <w:pPr>
              <w:spacing w:after="160" w:line="259" w:lineRule="auto"/>
              <w:ind w:left="0" w:right="0" w:firstLine="0"/>
              <w:jc w:val="left"/>
            </w:pPr>
          </w:p>
        </w:tc>
        <w:tc>
          <w:tcPr>
            <w:tcW w:w="1197" w:type="dxa"/>
            <w:tcBorders>
              <w:top w:val="single" w:sz="4" w:space="0" w:color="000000"/>
              <w:left w:val="nil"/>
              <w:bottom w:val="single" w:sz="4" w:space="0" w:color="000000"/>
              <w:right w:val="single" w:sz="4" w:space="0" w:color="000000"/>
            </w:tcBorders>
            <w:shd w:val="clear" w:color="auto" w:fill="CCFFCC"/>
          </w:tcPr>
          <w:p w:rsidR="00CA157D" w:rsidRDefault="00CA157D">
            <w:pPr>
              <w:spacing w:after="160" w:line="259" w:lineRule="auto"/>
              <w:ind w:left="0" w:right="0" w:firstLine="0"/>
              <w:jc w:val="left"/>
            </w:pPr>
          </w:p>
        </w:tc>
      </w:tr>
      <w:tr w:rsidR="00CA157D">
        <w:trPr>
          <w:trHeight w:val="1510"/>
        </w:trPr>
        <w:tc>
          <w:tcPr>
            <w:tcW w:w="208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82" w:firstLine="0"/>
              <w:jc w:val="center"/>
            </w:pPr>
            <w:r>
              <w:rPr>
                <w:rFonts w:ascii="Calibri" w:eastAsia="Calibri" w:hAnsi="Calibri" w:cs="Calibri"/>
                <w:b/>
              </w:rPr>
              <w:t xml:space="preserve">Potential Provider </w:t>
            </w:r>
          </w:p>
        </w:tc>
        <w:tc>
          <w:tcPr>
            <w:tcW w:w="132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16" w:right="51" w:firstLine="0"/>
              <w:jc w:val="center"/>
            </w:pPr>
            <w:r>
              <w:rPr>
                <w:rFonts w:ascii="Calibri" w:eastAsia="Calibri" w:hAnsi="Calibri" w:cs="Calibri"/>
                <w:b/>
              </w:rPr>
              <w:t xml:space="preserve">Average Fee Percent  </w:t>
            </w:r>
          </w:p>
        </w:tc>
        <w:tc>
          <w:tcPr>
            <w:tcW w:w="159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80" w:firstLine="0"/>
              <w:jc w:val="center"/>
            </w:pPr>
            <w:r>
              <w:rPr>
                <w:rFonts w:ascii="Calibri" w:eastAsia="Calibri" w:hAnsi="Calibri" w:cs="Calibri"/>
                <w:b/>
              </w:rPr>
              <w:t xml:space="preserve">Maximum </w:t>
            </w:r>
          </w:p>
          <w:p w:rsidR="00CA157D" w:rsidRDefault="00935285">
            <w:pPr>
              <w:spacing w:after="0" w:line="259" w:lineRule="auto"/>
              <w:ind w:left="0" w:right="79" w:firstLine="0"/>
              <w:jc w:val="center"/>
            </w:pPr>
            <w:r>
              <w:rPr>
                <w:rFonts w:ascii="Calibri" w:eastAsia="Calibri" w:hAnsi="Calibri" w:cs="Calibri"/>
                <w:b/>
              </w:rPr>
              <w:t xml:space="preserve">Percentage </w:t>
            </w:r>
          </w:p>
          <w:p w:rsidR="00CA157D" w:rsidRDefault="00935285">
            <w:pPr>
              <w:spacing w:after="0" w:line="259" w:lineRule="auto"/>
              <w:ind w:left="0" w:right="0" w:firstLine="0"/>
              <w:jc w:val="center"/>
            </w:pPr>
            <w:r>
              <w:rPr>
                <w:rFonts w:ascii="Calibri" w:eastAsia="Calibri" w:hAnsi="Calibri" w:cs="Calibri"/>
                <w:b/>
              </w:rPr>
              <w:t xml:space="preserve">Project Fee Score </w:t>
            </w:r>
          </w:p>
        </w:tc>
        <w:tc>
          <w:tcPr>
            <w:tcW w:w="115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84" w:firstLine="0"/>
              <w:jc w:val="center"/>
            </w:pPr>
            <w:r>
              <w:rPr>
                <w:rFonts w:ascii="Calibri" w:eastAsia="Calibri" w:hAnsi="Calibri" w:cs="Calibri"/>
                <w:b/>
              </w:rPr>
              <w:t xml:space="preserve">Lowest </w:t>
            </w:r>
          </w:p>
          <w:p w:rsidR="00CA157D" w:rsidRDefault="00935285">
            <w:pPr>
              <w:spacing w:after="0" w:line="259" w:lineRule="auto"/>
              <w:ind w:left="0" w:right="82" w:firstLine="0"/>
              <w:jc w:val="center"/>
            </w:pPr>
            <w:r>
              <w:rPr>
                <w:rFonts w:ascii="Calibri" w:eastAsia="Calibri" w:hAnsi="Calibri" w:cs="Calibri"/>
                <w:b/>
              </w:rPr>
              <w:t xml:space="preserve">Tender </w:t>
            </w:r>
          </w:p>
        </w:tc>
        <w:tc>
          <w:tcPr>
            <w:tcW w:w="119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center"/>
            </w:pPr>
            <w:r>
              <w:rPr>
                <w:rFonts w:ascii="Calibri" w:eastAsia="Calibri" w:hAnsi="Calibri" w:cs="Calibri"/>
                <w:b/>
              </w:rPr>
              <w:t xml:space="preserve">Weighted Score (%) </w:t>
            </w:r>
          </w:p>
        </w:tc>
      </w:tr>
      <w:tr w:rsidR="00CA157D">
        <w:trPr>
          <w:trHeight w:val="341"/>
        </w:trPr>
        <w:tc>
          <w:tcPr>
            <w:tcW w:w="2087"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0" w:firstLine="0"/>
              <w:jc w:val="left"/>
            </w:pPr>
            <w:r>
              <w:rPr>
                <w:rFonts w:ascii="Calibri" w:eastAsia="Calibri" w:hAnsi="Calibri" w:cs="Calibri"/>
              </w:rPr>
              <w:t xml:space="preserve">Supplier 1 </w:t>
            </w:r>
          </w:p>
        </w:tc>
        <w:tc>
          <w:tcPr>
            <w:tcW w:w="1324" w:type="dxa"/>
            <w:tcBorders>
              <w:top w:val="single" w:sz="4" w:space="0" w:color="000000"/>
              <w:left w:val="single" w:sz="4" w:space="0" w:color="000000"/>
              <w:bottom w:val="single" w:sz="4" w:space="0" w:color="000000"/>
              <w:right w:val="single" w:sz="4" w:space="0" w:color="000000"/>
            </w:tcBorders>
            <w:shd w:val="clear" w:color="auto" w:fill="5B9BD5"/>
            <w:vAlign w:val="bottom"/>
          </w:tcPr>
          <w:p w:rsidR="00CA157D" w:rsidRDefault="00935285">
            <w:pPr>
              <w:spacing w:after="0" w:line="259" w:lineRule="auto"/>
              <w:ind w:left="0" w:right="80" w:firstLine="0"/>
              <w:jc w:val="right"/>
            </w:pPr>
            <w:r>
              <w:rPr>
                <w:rFonts w:ascii="Calibri" w:eastAsia="Calibri" w:hAnsi="Calibri" w:cs="Calibri"/>
              </w:rPr>
              <w:t xml:space="preserve">20.000% </w:t>
            </w:r>
          </w:p>
        </w:tc>
        <w:tc>
          <w:tcPr>
            <w:tcW w:w="15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A157D" w:rsidRDefault="00935285">
            <w:pPr>
              <w:spacing w:after="0" w:line="259" w:lineRule="auto"/>
              <w:ind w:left="0" w:right="78" w:firstLine="0"/>
              <w:jc w:val="right"/>
            </w:pPr>
            <w:r>
              <w:rPr>
                <w:rFonts w:ascii="Calibri" w:eastAsia="Calibri" w:hAnsi="Calibri" w:cs="Calibri"/>
              </w:rPr>
              <w:t xml:space="preserve">3.500% </w:t>
            </w:r>
          </w:p>
        </w:tc>
        <w:tc>
          <w:tcPr>
            <w:tcW w:w="1159" w:type="dxa"/>
            <w:tcBorders>
              <w:top w:val="single" w:sz="4" w:space="0" w:color="000000"/>
              <w:left w:val="single" w:sz="4" w:space="0" w:color="000000"/>
              <w:bottom w:val="single" w:sz="4" w:space="0" w:color="000000"/>
              <w:right w:val="single" w:sz="4" w:space="0" w:color="000000"/>
            </w:tcBorders>
            <w:vAlign w:val="bottom"/>
          </w:tcPr>
          <w:p w:rsidR="00CA157D" w:rsidRDefault="00935285">
            <w:pPr>
              <w:spacing w:after="0" w:line="259" w:lineRule="auto"/>
              <w:ind w:left="0" w:right="32" w:firstLine="0"/>
              <w:jc w:val="right"/>
            </w:pPr>
            <w:r>
              <w:rPr>
                <w:rFonts w:ascii="Calibri" w:eastAsia="Calibri" w:hAnsi="Calibri" w:cs="Calibri"/>
              </w:rPr>
              <w:t xml:space="preserve"> </w:t>
            </w:r>
          </w:p>
        </w:tc>
        <w:tc>
          <w:tcPr>
            <w:tcW w:w="1197" w:type="dxa"/>
            <w:tcBorders>
              <w:top w:val="single" w:sz="4" w:space="0" w:color="000000"/>
              <w:left w:val="single" w:sz="4" w:space="0" w:color="000000"/>
              <w:bottom w:val="single" w:sz="4" w:space="0" w:color="000000"/>
              <w:right w:val="single" w:sz="4" w:space="0" w:color="000000"/>
            </w:tcBorders>
            <w:shd w:val="clear" w:color="auto" w:fill="ED7D31"/>
            <w:vAlign w:val="bottom"/>
          </w:tcPr>
          <w:p w:rsidR="00CA157D" w:rsidRDefault="00935285">
            <w:pPr>
              <w:spacing w:after="0" w:line="259" w:lineRule="auto"/>
              <w:ind w:left="0" w:right="82" w:firstLine="0"/>
              <w:jc w:val="right"/>
            </w:pPr>
            <w:r>
              <w:rPr>
                <w:rFonts w:ascii="Calibri" w:eastAsia="Calibri" w:hAnsi="Calibri" w:cs="Calibri"/>
              </w:rPr>
              <w:t xml:space="preserve">2.630% </w:t>
            </w:r>
          </w:p>
        </w:tc>
      </w:tr>
      <w:tr w:rsidR="00CA157D">
        <w:trPr>
          <w:trHeight w:val="310"/>
        </w:trPr>
        <w:tc>
          <w:tcPr>
            <w:tcW w:w="208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rPr>
                <w:rFonts w:ascii="Calibri" w:eastAsia="Calibri" w:hAnsi="Calibri" w:cs="Calibri"/>
              </w:rPr>
              <w:t xml:space="preserve">Supplier 2 </w:t>
            </w:r>
          </w:p>
        </w:tc>
        <w:tc>
          <w:tcPr>
            <w:tcW w:w="1324" w:type="dxa"/>
            <w:tcBorders>
              <w:top w:val="single" w:sz="4" w:space="0" w:color="000000"/>
              <w:left w:val="single" w:sz="4" w:space="0" w:color="000000"/>
              <w:bottom w:val="single" w:sz="4" w:space="0" w:color="000000"/>
              <w:right w:val="single" w:sz="4" w:space="0" w:color="000000"/>
            </w:tcBorders>
            <w:shd w:val="clear" w:color="auto" w:fill="5B9BD5"/>
          </w:tcPr>
          <w:p w:rsidR="00CA157D" w:rsidRDefault="00935285">
            <w:pPr>
              <w:spacing w:after="0" w:line="259" w:lineRule="auto"/>
              <w:ind w:left="0" w:right="80" w:firstLine="0"/>
              <w:jc w:val="right"/>
            </w:pPr>
            <w:r>
              <w:rPr>
                <w:rFonts w:ascii="Calibri" w:eastAsia="Calibri" w:hAnsi="Calibri" w:cs="Calibri"/>
              </w:rPr>
              <w:t xml:space="preserve">15.000% </w:t>
            </w:r>
          </w:p>
        </w:tc>
        <w:tc>
          <w:tcPr>
            <w:tcW w:w="159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78" w:firstLine="0"/>
              <w:jc w:val="right"/>
            </w:pPr>
            <w:r>
              <w:rPr>
                <w:rFonts w:ascii="Calibri" w:eastAsia="Calibri" w:hAnsi="Calibri" w:cs="Calibri"/>
              </w:rPr>
              <w:t xml:space="preserve">3.500% </w:t>
            </w:r>
          </w:p>
        </w:tc>
        <w:tc>
          <w:tcPr>
            <w:tcW w:w="1159"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81" w:firstLine="0"/>
              <w:jc w:val="right"/>
            </w:pPr>
            <w:r>
              <w:rPr>
                <w:rFonts w:ascii="Calibri" w:eastAsia="Calibri" w:hAnsi="Calibri" w:cs="Calibri"/>
              </w:rPr>
              <w:t xml:space="preserve">15.00% </w:t>
            </w:r>
          </w:p>
        </w:tc>
        <w:tc>
          <w:tcPr>
            <w:tcW w:w="1197" w:type="dxa"/>
            <w:tcBorders>
              <w:top w:val="single" w:sz="4" w:space="0" w:color="000000"/>
              <w:left w:val="single" w:sz="4" w:space="0" w:color="000000"/>
              <w:bottom w:val="single" w:sz="4" w:space="0" w:color="000000"/>
              <w:right w:val="single" w:sz="4" w:space="0" w:color="000000"/>
            </w:tcBorders>
            <w:shd w:val="clear" w:color="auto" w:fill="ED7D31"/>
          </w:tcPr>
          <w:p w:rsidR="00CA157D" w:rsidRDefault="00935285">
            <w:pPr>
              <w:spacing w:after="0" w:line="259" w:lineRule="auto"/>
              <w:ind w:left="0" w:right="82" w:firstLine="0"/>
              <w:jc w:val="right"/>
            </w:pPr>
            <w:r>
              <w:rPr>
                <w:rFonts w:ascii="Calibri" w:eastAsia="Calibri" w:hAnsi="Calibri" w:cs="Calibri"/>
              </w:rPr>
              <w:t xml:space="preserve">3.500% </w:t>
            </w:r>
          </w:p>
        </w:tc>
      </w:tr>
      <w:tr w:rsidR="00CA157D">
        <w:trPr>
          <w:trHeight w:val="308"/>
        </w:trPr>
        <w:tc>
          <w:tcPr>
            <w:tcW w:w="2087"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rPr>
                <w:rFonts w:ascii="Calibri" w:eastAsia="Calibri" w:hAnsi="Calibri" w:cs="Calibri"/>
              </w:rPr>
              <w:t xml:space="preserve">Supplier 3 </w:t>
            </w:r>
          </w:p>
        </w:tc>
        <w:tc>
          <w:tcPr>
            <w:tcW w:w="1324" w:type="dxa"/>
            <w:tcBorders>
              <w:top w:val="single" w:sz="4" w:space="0" w:color="000000"/>
              <w:left w:val="single" w:sz="4" w:space="0" w:color="000000"/>
              <w:bottom w:val="single" w:sz="4" w:space="0" w:color="000000"/>
              <w:right w:val="single" w:sz="4" w:space="0" w:color="000000"/>
            </w:tcBorders>
            <w:shd w:val="clear" w:color="auto" w:fill="5B9BD5"/>
          </w:tcPr>
          <w:p w:rsidR="00CA157D" w:rsidRDefault="00935285">
            <w:pPr>
              <w:spacing w:after="0" w:line="259" w:lineRule="auto"/>
              <w:ind w:left="0" w:right="79" w:firstLine="0"/>
              <w:jc w:val="right"/>
            </w:pPr>
            <w:r>
              <w:rPr>
                <w:rFonts w:ascii="Calibri" w:eastAsia="Calibri" w:hAnsi="Calibri" w:cs="Calibri"/>
              </w:rPr>
              <w:t xml:space="preserve">18.000% </w:t>
            </w:r>
          </w:p>
        </w:tc>
        <w:tc>
          <w:tcPr>
            <w:tcW w:w="1598"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78" w:firstLine="0"/>
              <w:jc w:val="right"/>
            </w:pPr>
            <w:r>
              <w:rPr>
                <w:rFonts w:ascii="Calibri" w:eastAsia="Calibri" w:hAnsi="Calibri" w:cs="Calibri"/>
              </w:rPr>
              <w:t xml:space="preserve">3.500% </w:t>
            </w:r>
          </w:p>
        </w:tc>
        <w:tc>
          <w:tcPr>
            <w:tcW w:w="1159"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32" w:firstLine="0"/>
              <w:jc w:val="right"/>
            </w:pPr>
            <w:r>
              <w:rPr>
                <w:rFonts w:ascii="Calibri" w:eastAsia="Calibri" w:hAnsi="Calibri" w:cs="Calibri"/>
              </w:rPr>
              <w:t xml:space="preserve"> </w:t>
            </w:r>
          </w:p>
        </w:tc>
        <w:tc>
          <w:tcPr>
            <w:tcW w:w="1197" w:type="dxa"/>
            <w:tcBorders>
              <w:top w:val="single" w:sz="4" w:space="0" w:color="000000"/>
              <w:left w:val="single" w:sz="4" w:space="0" w:color="000000"/>
              <w:bottom w:val="single" w:sz="4" w:space="0" w:color="000000"/>
              <w:right w:val="single" w:sz="4" w:space="0" w:color="000000"/>
            </w:tcBorders>
            <w:shd w:val="clear" w:color="auto" w:fill="ED7D31"/>
          </w:tcPr>
          <w:p w:rsidR="00CA157D" w:rsidRDefault="00935285">
            <w:pPr>
              <w:spacing w:after="0" w:line="259" w:lineRule="auto"/>
              <w:ind w:left="0" w:right="82" w:firstLine="0"/>
              <w:jc w:val="right"/>
            </w:pPr>
            <w:r>
              <w:rPr>
                <w:rFonts w:ascii="Calibri" w:eastAsia="Calibri" w:hAnsi="Calibri" w:cs="Calibri"/>
              </w:rPr>
              <w:t xml:space="preserve">2.920% </w:t>
            </w:r>
          </w:p>
        </w:tc>
      </w:tr>
    </w:tbl>
    <w:p w:rsidR="00CA157D" w:rsidRDefault="00935285">
      <w:pPr>
        <w:spacing w:after="269"/>
        <w:ind w:right="50"/>
      </w:pPr>
      <w:r>
        <w:t xml:space="preserve">.  </w:t>
      </w:r>
    </w:p>
    <w:p w:rsidR="00CA157D" w:rsidRDefault="00935285">
      <w:pPr>
        <w:spacing w:after="259" w:line="259" w:lineRule="auto"/>
        <w:ind w:left="708" w:right="67" w:firstLine="0"/>
        <w:jc w:val="left"/>
      </w:pPr>
      <w:r>
        <w:t xml:space="preserve"> </w:t>
      </w:r>
    </w:p>
    <w:p w:rsidR="00CA157D" w:rsidRDefault="00935285">
      <w:pPr>
        <w:spacing w:after="259" w:line="259" w:lineRule="auto"/>
        <w:ind w:left="708" w:right="67" w:firstLine="0"/>
        <w:jc w:val="left"/>
      </w:pPr>
      <w:r>
        <w:t xml:space="preserve"> </w:t>
      </w:r>
    </w:p>
    <w:p w:rsidR="00CA157D" w:rsidRDefault="00935285">
      <w:pPr>
        <w:spacing w:after="261" w:line="259" w:lineRule="auto"/>
        <w:ind w:left="708" w:right="67" w:firstLine="0"/>
        <w:jc w:val="left"/>
      </w:pPr>
      <w:r>
        <w:t xml:space="preserve"> </w:t>
      </w:r>
    </w:p>
    <w:p w:rsidR="00CA157D" w:rsidRDefault="00935285">
      <w:pPr>
        <w:spacing w:after="259" w:line="259" w:lineRule="auto"/>
        <w:ind w:left="708" w:right="67" w:firstLine="0"/>
        <w:jc w:val="left"/>
      </w:pPr>
      <w:r>
        <w:t xml:space="preserve"> </w:t>
      </w:r>
    </w:p>
    <w:p w:rsidR="00CA157D" w:rsidRDefault="00935285">
      <w:pPr>
        <w:spacing w:after="270" w:line="259" w:lineRule="auto"/>
        <w:ind w:left="708" w:right="67" w:firstLine="0"/>
        <w:jc w:val="left"/>
      </w:pPr>
      <w:r>
        <w:t xml:space="preserve"> </w:t>
      </w:r>
    </w:p>
    <w:p w:rsidR="00CA157D" w:rsidRDefault="00935285">
      <w:pPr>
        <w:spacing w:after="231"/>
        <w:ind w:left="1418" w:right="50" w:hanging="698"/>
      </w:pPr>
      <w:r>
        <w:t xml:space="preserve">17.2.3. The  Potential Provider’s ‘Weighted Score’ (highlighted orange), is combined for all of the 6 Procurement Types (each Procurement Type has a separate weighted score outlined in Annex B of this document) for each Core Service Discipline. This will result in the calculation of a ‘Total Percentage Project Fee Score’, with a maximum Percentage Project Fee score of 20% available to Potential Providers. </w:t>
      </w:r>
    </w:p>
    <w:p w:rsidR="00CA157D" w:rsidRDefault="00935285">
      <w:pPr>
        <w:pStyle w:val="Heading3"/>
        <w:spacing w:after="105" w:line="259" w:lineRule="auto"/>
        <w:ind w:left="-5"/>
        <w:jc w:val="left"/>
      </w:pPr>
      <w:r>
        <w:rPr>
          <w:b w:val="0"/>
        </w:rPr>
        <w:t xml:space="preserve">17.3. </w:t>
      </w:r>
      <w:r>
        <w:rPr>
          <w:u w:val="single" w:color="000000"/>
        </w:rPr>
        <w:t>Time Charge Fees</w:t>
      </w:r>
      <w:r>
        <w:rPr>
          <w:b w:val="0"/>
        </w:rPr>
        <w:t xml:space="preserve"> </w:t>
      </w:r>
    </w:p>
    <w:p w:rsidR="00CA157D" w:rsidRDefault="00935285">
      <w:pPr>
        <w:spacing w:after="231"/>
        <w:ind w:left="1418" w:right="50" w:hanging="698"/>
      </w:pPr>
      <w:r>
        <w:t xml:space="preserve">17.3.1. Potential Providers’ ‘Average Region Adjusted Values’ are evaluated against all other Potential Providers’ ‘Average Region Adjusted Values’ to establish their weighted score for each Core Service Discipline. </w:t>
      </w:r>
    </w:p>
    <w:p w:rsidR="00CA157D" w:rsidRDefault="00935285">
      <w:pPr>
        <w:spacing w:after="272"/>
        <w:ind w:left="1418" w:right="50" w:hanging="698"/>
      </w:pPr>
      <w:r>
        <w:t xml:space="preserve">17.3.2. The Potential Provider with the lowest ‘Average Region Adjusted Values’ (Hourly or Daily), shall be awarded the ‘Maximum Time Charge Fee Score’ for that Procurement Type (Hourly or Daily). The remaining Potential Providers shall be awarded a ‘Weighted Score’ of the ‘Maximum Time Charge Fee Score’ equal to their Price, relative to the lowest Price submitted. The calculation used is as follows: </w:t>
      </w:r>
    </w:p>
    <w:p w:rsidR="00CA157D" w:rsidRDefault="00935285">
      <w:pPr>
        <w:spacing w:after="276" w:line="259" w:lineRule="auto"/>
        <w:ind w:left="1418" w:right="0" w:firstLine="0"/>
        <w:jc w:val="left"/>
      </w:pPr>
      <w:r>
        <w:t xml:space="preserve"> </w:t>
      </w:r>
    </w:p>
    <w:p w:rsidR="00CA157D" w:rsidRDefault="00935285">
      <w:pPr>
        <w:spacing w:after="747" w:line="259" w:lineRule="auto"/>
        <w:ind w:left="1224" w:right="0" w:firstLine="0"/>
        <w:jc w:val="left"/>
      </w:pPr>
      <w:r>
        <w:t xml:space="preserve"> </w:t>
      </w:r>
      <w:r>
        <w:rPr>
          <w:rFonts w:ascii="Calibri" w:eastAsia="Calibri" w:hAnsi="Calibri" w:cs="Calibri"/>
        </w:rPr>
        <w:t xml:space="preserve"> </w:t>
      </w:r>
    </w:p>
    <w:tbl>
      <w:tblPr>
        <w:tblStyle w:val="TableGrid"/>
        <w:tblpPr w:vertAnchor="text" w:tblpX="3651" w:tblpY="-784"/>
        <w:tblOverlap w:val="never"/>
        <w:tblW w:w="4422" w:type="dxa"/>
        <w:tblInd w:w="0" w:type="dxa"/>
        <w:tblCellMar>
          <w:top w:w="55" w:type="dxa"/>
          <w:right w:w="115" w:type="dxa"/>
        </w:tblCellMar>
        <w:tblLook w:val="04A0" w:firstRow="1" w:lastRow="0" w:firstColumn="1" w:lastColumn="0" w:noHBand="0" w:noVBand="1"/>
      </w:tblPr>
      <w:tblGrid>
        <w:gridCol w:w="1748"/>
        <w:gridCol w:w="1159"/>
        <w:gridCol w:w="1515"/>
      </w:tblGrid>
      <w:tr w:rsidR="00CA157D">
        <w:trPr>
          <w:trHeight w:val="721"/>
        </w:trPr>
        <w:tc>
          <w:tcPr>
            <w:tcW w:w="1748" w:type="dxa"/>
            <w:tcBorders>
              <w:top w:val="single" w:sz="8" w:space="0" w:color="000000"/>
              <w:left w:val="single" w:sz="8" w:space="0" w:color="000000"/>
              <w:bottom w:val="single" w:sz="8" w:space="0" w:color="000000"/>
              <w:right w:val="nil"/>
            </w:tcBorders>
          </w:tcPr>
          <w:p w:rsidR="00CA157D" w:rsidRDefault="00935285">
            <w:pPr>
              <w:spacing w:after="0" w:line="259" w:lineRule="auto"/>
              <w:ind w:left="108" w:right="0" w:firstLine="0"/>
              <w:jc w:val="left"/>
            </w:pPr>
            <w:r>
              <w:rPr>
                <w:sz w:val="18"/>
              </w:rPr>
              <w:t xml:space="preserve">Lowest ‘Average </w:t>
            </w:r>
          </w:p>
          <w:p w:rsidR="00CA157D" w:rsidRDefault="00935285">
            <w:pPr>
              <w:spacing w:after="0" w:line="259" w:lineRule="auto"/>
              <w:ind w:left="108" w:right="0" w:firstLine="0"/>
              <w:jc w:val="left"/>
            </w:pPr>
            <w:r>
              <w:rPr>
                <w:sz w:val="18"/>
              </w:rPr>
              <w:t xml:space="preserve">Region Adjusted Values’ </w:t>
            </w:r>
          </w:p>
        </w:tc>
        <w:tc>
          <w:tcPr>
            <w:tcW w:w="1159" w:type="dxa"/>
            <w:tcBorders>
              <w:top w:val="single" w:sz="8" w:space="0" w:color="000000"/>
              <w:left w:val="nil"/>
              <w:bottom w:val="single" w:sz="8" w:space="0" w:color="000000"/>
              <w:right w:val="nil"/>
            </w:tcBorders>
            <w:vAlign w:val="center"/>
          </w:tcPr>
          <w:p w:rsidR="00CA157D" w:rsidRDefault="00935285">
            <w:pPr>
              <w:spacing w:after="0" w:line="259" w:lineRule="auto"/>
              <w:ind w:left="97" w:right="0" w:firstLine="0"/>
              <w:jc w:val="center"/>
            </w:pPr>
            <w:r>
              <w:rPr>
                <w:sz w:val="18"/>
              </w:rPr>
              <w:t xml:space="preserve">x </w:t>
            </w:r>
          </w:p>
        </w:tc>
        <w:tc>
          <w:tcPr>
            <w:tcW w:w="1515" w:type="dxa"/>
            <w:tcBorders>
              <w:top w:val="single" w:sz="8" w:space="0" w:color="000000"/>
              <w:left w:val="nil"/>
              <w:bottom w:val="single" w:sz="8" w:space="0" w:color="000000"/>
              <w:right w:val="single" w:sz="8" w:space="0" w:color="000000"/>
            </w:tcBorders>
          </w:tcPr>
          <w:p w:rsidR="00CA157D" w:rsidRDefault="00935285">
            <w:pPr>
              <w:spacing w:after="0" w:line="259" w:lineRule="auto"/>
              <w:ind w:left="0" w:right="0" w:firstLine="0"/>
              <w:jc w:val="left"/>
            </w:pPr>
            <w:r>
              <w:rPr>
                <w:sz w:val="18"/>
              </w:rPr>
              <w:t xml:space="preserve">Maximum Time </w:t>
            </w:r>
          </w:p>
          <w:p w:rsidR="00CA157D" w:rsidRDefault="00935285">
            <w:pPr>
              <w:spacing w:after="0" w:line="259" w:lineRule="auto"/>
              <w:ind w:left="0" w:right="0" w:firstLine="0"/>
              <w:jc w:val="left"/>
            </w:pPr>
            <w:r>
              <w:rPr>
                <w:sz w:val="18"/>
              </w:rPr>
              <w:t xml:space="preserve">Charge Fee </w:t>
            </w:r>
          </w:p>
          <w:p w:rsidR="00CA157D" w:rsidRDefault="00935285">
            <w:pPr>
              <w:spacing w:after="0" w:line="259" w:lineRule="auto"/>
              <w:ind w:left="0" w:right="0" w:firstLine="0"/>
              <w:jc w:val="left"/>
            </w:pPr>
            <w:r>
              <w:rPr>
                <w:sz w:val="18"/>
              </w:rPr>
              <w:t xml:space="preserve">Score (Hourly) </w:t>
            </w:r>
          </w:p>
        </w:tc>
      </w:tr>
    </w:tbl>
    <w:tbl>
      <w:tblPr>
        <w:tblStyle w:val="TableGrid"/>
        <w:tblpPr w:vertAnchor="text" w:tblpX="1411" w:tblpY="-63"/>
        <w:tblOverlap w:val="never"/>
        <w:tblW w:w="1621" w:type="dxa"/>
        <w:tblInd w:w="0" w:type="dxa"/>
        <w:tblCellMar>
          <w:left w:w="106" w:type="dxa"/>
          <w:bottom w:w="12" w:type="dxa"/>
          <w:right w:w="104" w:type="dxa"/>
        </w:tblCellMar>
        <w:tblLook w:val="04A0" w:firstRow="1" w:lastRow="0" w:firstColumn="1" w:lastColumn="0" w:noHBand="0" w:noVBand="1"/>
      </w:tblPr>
      <w:tblGrid>
        <w:gridCol w:w="1621"/>
      </w:tblGrid>
      <w:tr w:rsidR="00CA157D">
        <w:trPr>
          <w:trHeight w:val="322"/>
        </w:trPr>
        <w:tc>
          <w:tcPr>
            <w:tcW w:w="1621" w:type="dxa"/>
            <w:tcBorders>
              <w:top w:val="single" w:sz="8" w:space="0" w:color="000000"/>
              <w:left w:val="single" w:sz="8" w:space="0" w:color="000000"/>
              <w:bottom w:val="single" w:sz="8" w:space="0" w:color="000000"/>
              <w:right w:val="single" w:sz="8" w:space="0" w:color="000000"/>
            </w:tcBorders>
            <w:vAlign w:val="bottom"/>
          </w:tcPr>
          <w:p w:rsidR="00CA157D" w:rsidRDefault="00935285">
            <w:pPr>
              <w:spacing w:after="0" w:line="259" w:lineRule="auto"/>
              <w:ind w:left="0" w:right="0" w:firstLine="0"/>
              <w:jc w:val="left"/>
            </w:pPr>
            <w:r>
              <w:rPr>
                <w:sz w:val="18"/>
              </w:rPr>
              <w:t xml:space="preserve">‘Weighted Score’ </w:t>
            </w:r>
          </w:p>
        </w:tc>
      </w:tr>
    </w:tbl>
    <w:p w:rsidR="00CA157D" w:rsidRDefault="00935285">
      <w:pPr>
        <w:tabs>
          <w:tab w:val="center" w:pos="5862"/>
        </w:tabs>
        <w:spacing w:after="218" w:line="259" w:lineRule="auto"/>
        <w:ind w:left="-15" w:right="0" w:firstLine="0"/>
        <w:jc w:val="left"/>
      </w:pPr>
      <w:r>
        <w:t xml:space="preserve"> </w:t>
      </w:r>
      <w:r>
        <w:rPr>
          <w:sz w:val="18"/>
        </w:rPr>
        <w:t xml:space="preserve">= </w:t>
      </w:r>
      <w:r>
        <w:rPr>
          <w:sz w:val="18"/>
        </w:rPr>
        <w:tab/>
        <w:t xml:space="preserve">------------------------- </w:t>
      </w:r>
    </w:p>
    <w:p w:rsidR="00CA157D" w:rsidRDefault="00935285">
      <w:pPr>
        <w:pBdr>
          <w:top w:val="single" w:sz="8" w:space="0" w:color="000000"/>
          <w:left w:val="single" w:sz="8" w:space="0" w:color="000000"/>
          <w:bottom w:val="single" w:sz="8" w:space="0" w:color="000000"/>
          <w:right w:val="single" w:sz="8" w:space="0" w:color="000000"/>
        </w:pBdr>
        <w:spacing w:after="0" w:line="267" w:lineRule="auto"/>
        <w:ind w:left="0" w:right="1045" w:firstLine="0"/>
        <w:jc w:val="center"/>
      </w:pPr>
      <w:r>
        <w:rPr>
          <w:sz w:val="18"/>
        </w:rPr>
        <w:t xml:space="preserve">Potential Provider's ‘Average Region Adjusted </w:t>
      </w:r>
      <w:r>
        <w:t xml:space="preserve"> </w:t>
      </w:r>
      <w:r>
        <w:tab/>
      </w: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18"/>
        </w:rPr>
        <w:t xml:space="preserve">Values’ </w:t>
      </w:r>
    </w:p>
    <w:p w:rsidR="00CA157D" w:rsidRDefault="00935285">
      <w:pPr>
        <w:spacing w:after="98" w:line="259" w:lineRule="auto"/>
        <w:ind w:left="0" w:right="0" w:firstLine="0"/>
        <w:jc w:val="left"/>
      </w:pPr>
      <w:r>
        <w:t xml:space="preserve"> </w:t>
      </w:r>
    </w:p>
    <w:p w:rsidR="00CA157D" w:rsidRDefault="00935285">
      <w:pPr>
        <w:spacing w:after="305" w:line="244" w:lineRule="auto"/>
        <w:ind w:left="1418" w:right="45" w:firstLine="0"/>
        <w:jc w:val="left"/>
      </w:pPr>
      <w:r>
        <w:t xml:space="preserve">The following example shows how the Hourly ‘Average Region Adjusted Values’ are evaluated; the same steps are taken to evaluate the Daily ‘Average Region Adjusted Values’. </w:t>
      </w:r>
    </w:p>
    <w:p w:rsidR="00CA157D" w:rsidRDefault="00935285">
      <w:pPr>
        <w:pStyle w:val="Heading2"/>
        <w:spacing w:after="289"/>
        <w:ind w:left="1428" w:right="49"/>
      </w:pPr>
      <w:r>
        <w:t xml:space="preserve">Worked example of ‘Average Region Adjusted Values’ score calculation (Hourly rate, Architect - Core Service Discipline) </w:t>
      </w:r>
    </w:p>
    <w:p w:rsidR="00CA157D" w:rsidRDefault="00935285">
      <w:pPr>
        <w:numPr>
          <w:ilvl w:val="0"/>
          <w:numId w:val="6"/>
        </w:numPr>
        <w:spacing w:after="291"/>
        <w:ind w:right="50"/>
      </w:pPr>
      <w:r>
        <w:t xml:space="preserve">Supplier 3 submits the lowest Hourly ‘Average Region Adjusted Values’ of £150.  Supplier 3 is awarded the ‘Maximum Time Charge Fee Score (Hourly)’ of 2.500%; </w:t>
      </w:r>
    </w:p>
    <w:p w:rsidR="00CA157D" w:rsidRDefault="00935285">
      <w:pPr>
        <w:numPr>
          <w:ilvl w:val="0"/>
          <w:numId w:val="6"/>
        </w:numPr>
        <w:spacing w:after="0"/>
        <w:ind w:right="50"/>
      </w:pPr>
      <w:r>
        <w:t xml:space="preserve">Supplier 1 submits an ‘Average Region Adjusted Values’ of £200.  As the Tender is higher than Supplier 3’s price, Supplier 1 is awarded 75% of the ‘Maximum Time Charge Fee Score (Hourly)’, namely a ‘Weighted Score’ of </w:t>
      </w:r>
    </w:p>
    <w:p w:rsidR="00CA157D" w:rsidRDefault="00935285">
      <w:pPr>
        <w:spacing w:after="288"/>
        <w:ind w:left="1428" w:right="50"/>
      </w:pPr>
      <w:r>
        <w:t xml:space="preserve">1.880%; </w:t>
      </w:r>
    </w:p>
    <w:p w:rsidR="00CA157D" w:rsidRDefault="00935285">
      <w:pPr>
        <w:numPr>
          <w:ilvl w:val="0"/>
          <w:numId w:val="6"/>
        </w:numPr>
        <w:spacing w:after="11"/>
        <w:ind w:right="50"/>
      </w:pPr>
      <w:r>
        <w:t>Supplier 2 submits an ‘Average Region Adjusted Values’ of £175. As the Tender is higher than Supplier 3’s price, Supplier 1 is awarded 86% of the ‘Maximum Time Charge Fee Score (Hourly)’, namely a ‘Weighted Score’ of 2.140%.</w:t>
      </w:r>
      <w:r>
        <w:rPr>
          <w:color w:val="FF0000"/>
        </w:rPr>
        <w:t xml:space="preserve"> </w:t>
      </w:r>
    </w:p>
    <w:tbl>
      <w:tblPr>
        <w:tblStyle w:val="TableGrid"/>
        <w:tblW w:w="6978" w:type="dxa"/>
        <w:tblInd w:w="1496" w:type="dxa"/>
        <w:tblCellMar>
          <w:top w:w="73" w:type="dxa"/>
          <w:right w:w="17" w:type="dxa"/>
        </w:tblCellMar>
        <w:tblLook w:val="04A0" w:firstRow="1" w:lastRow="0" w:firstColumn="1" w:lastColumn="0" w:noHBand="0" w:noVBand="1"/>
      </w:tblPr>
      <w:tblGrid>
        <w:gridCol w:w="1191"/>
        <w:gridCol w:w="1277"/>
        <w:gridCol w:w="1649"/>
        <w:gridCol w:w="1510"/>
        <w:gridCol w:w="1351"/>
      </w:tblGrid>
      <w:tr w:rsidR="00CA157D">
        <w:trPr>
          <w:trHeight w:val="335"/>
        </w:trPr>
        <w:tc>
          <w:tcPr>
            <w:tcW w:w="1192" w:type="dxa"/>
            <w:tcBorders>
              <w:top w:val="single" w:sz="4" w:space="0" w:color="000000"/>
              <w:left w:val="single" w:sz="4" w:space="0" w:color="000000"/>
              <w:bottom w:val="single" w:sz="4" w:space="0" w:color="000000"/>
              <w:right w:val="nil"/>
            </w:tcBorders>
            <w:shd w:val="clear" w:color="auto" w:fill="CCFFCC"/>
          </w:tcPr>
          <w:p w:rsidR="00CA157D" w:rsidRDefault="00CA157D">
            <w:pPr>
              <w:spacing w:after="160" w:line="259" w:lineRule="auto"/>
              <w:ind w:left="0" w:right="0" w:firstLine="0"/>
              <w:jc w:val="left"/>
            </w:pPr>
          </w:p>
        </w:tc>
        <w:tc>
          <w:tcPr>
            <w:tcW w:w="1277" w:type="dxa"/>
            <w:tcBorders>
              <w:top w:val="single" w:sz="4" w:space="0" w:color="000000"/>
              <w:left w:val="nil"/>
              <w:bottom w:val="single" w:sz="4" w:space="0" w:color="000000"/>
              <w:right w:val="nil"/>
            </w:tcBorders>
            <w:shd w:val="clear" w:color="auto" w:fill="CCFFCC"/>
          </w:tcPr>
          <w:p w:rsidR="00CA157D" w:rsidRDefault="00CA157D">
            <w:pPr>
              <w:spacing w:after="160" w:line="259" w:lineRule="auto"/>
              <w:ind w:left="0" w:right="0" w:firstLine="0"/>
              <w:jc w:val="left"/>
            </w:pPr>
          </w:p>
        </w:tc>
        <w:tc>
          <w:tcPr>
            <w:tcW w:w="1649" w:type="dxa"/>
            <w:tcBorders>
              <w:top w:val="single" w:sz="4" w:space="0" w:color="000000"/>
              <w:left w:val="nil"/>
              <w:bottom w:val="single" w:sz="4" w:space="0" w:color="000000"/>
              <w:right w:val="nil"/>
            </w:tcBorders>
            <w:shd w:val="clear" w:color="auto" w:fill="CCFFCC"/>
          </w:tcPr>
          <w:p w:rsidR="00CA157D" w:rsidRDefault="00935285">
            <w:pPr>
              <w:spacing w:after="0" w:line="259" w:lineRule="auto"/>
              <w:ind w:left="0" w:right="52" w:firstLine="0"/>
              <w:jc w:val="right"/>
            </w:pPr>
            <w:r>
              <w:rPr>
                <w:rFonts w:ascii="Calibri" w:eastAsia="Calibri" w:hAnsi="Calibri" w:cs="Calibri"/>
                <w:b/>
              </w:rPr>
              <w:t xml:space="preserve">Hourly Rates </w:t>
            </w:r>
          </w:p>
        </w:tc>
        <w:tc>
          <w:tcPr>
            <w:tcW w:w="1510" w:type="dxa"/>
            <w:tcBorders>
              <w:top w:val="single" w:sz="4" w:space="0" w:color="000000"/>
              <w:left w:val="nil"/>
              <w:bottom w:val="single" w:sz="4" w:space="0" w:color="000000"/>
              <w:right w:val="nil"/>
            </w:tcBorders>
            <w:shd w:val="clear" w:color="auto" w:fill="CCFFCC"/>
          </w:tcPr>
          <w:p w:rsidR="00CA157D" w:rsidRDefault="00935285">
            <w:pPr>
              <w:spacing w:after="0" w:line="259" w:lineRule="auto"/>
              <w:ind w:left="-19" w:right="0" w:firstLine="0"/>
              <w:jc w:val="left"/>
            </w:pPr>
            <w:r>
              <w:rPr>
                <w:rFonts w:ascii="Calibri" w:eastAsia="Calibri" w:hAnsi="Calibri" w:cs="Calibri"/>
                <w:b/>
              </w:rPr>
              <w:t xml:space="preserve"> </w:t>
            </w:r>
          </w:p>
        </w:tc>
        <w:tc>
          <w:tcPr>
            <w:tcW w:w="1351" w:type="dxa"/>
            <w:tcBorders>
              <w:top w:val="single" w:sz="4" w:space="0" w:color="000000"/>
              <w:left w:val="nil"/>
              <w:bottom w:val="single" w:sz="4" w:space="0" w:color="000000"/>
              <w:right w:val="single" w:sz="4" w:space="0" w:color="000000"/>
            </w:tcBorders>
            <w:shd w:val="clear" w:color="auto" w:fill="CCFFCC"/>
          </w:tcPr>
          <w:p w:rsidR="00CA157D" w:rsidRDefault="00CA157D">
            <w:pPr>
              <w:spacing w:after="160" w:line="259" w:lineRule="auto"/>
              <w:ind w:left="0" w:right="0" w:firstLine="0"/>
              <w:jc w:val="left"/>
            </w:pPr>
          </w:p>
        </w:tc>
      </w:tr>
      <w:tr w:rsidR="00CA157D">
        <w:trPr>
          <w:trHeight w:val="2110"/>
        </w:trPr>
        <w:tc>
          <w:tcPr>
            <w:tcW w:w="1192"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107" w:right="0" w:firstLine="0"/>
              <w:jc w:val="left"/>
            </w:pPr>
            <w:r>
              <w:rPr>
                <w:rFonts w:ascii="Calibri" w:eastAsia="Calibri" w:hAnsi="Calibri" w:cs="Calibri"/>
                <w:b/>
              </w:rPr>
              <w:t xml:space="preserve">Tenderer </w:t>
            </w:r>
          </w:p>
        </w:tc>
        <w:tc>
          <w:tcPr>
            <w:tcW w:w="127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2" w:line="237" w:lineRule="auto"/>
              <w:ind w:left="0" w:right="0" w:firstLine="0"/>
              <w:jc w:val="center"/>
            </w:pPr>
            <w:r>
              <w:rPr>
                <w:rFonts w:ascii="Calibri" w:eastAsia="Calibri" w:hAnsi="Calibri" w:cs="Calibri"/>
                <w:b/>
              </w:rPr>
              <w:t xml:space="preserve">Average Region </w:t>
            </w:r>
          </w:p>
          <w:p w:rsidR="00CA157D" w:rsidRDefault="00935285">
            <w:pPr>
              <w:spacing w:after="0" w:line="259" w:lineRule="auto"/>
              <w:ind w:left="0" w:right="0" w:firstLine="0"/>
              <w:jc w:val="center"/>
            </w:pPr>
            <w:r>
              <w:rPr>
                <w:rFonts w:ascii="Calibri" w:eastAsia="Calibri" w:hAnsi="Calibri" w:cs="Calibri"/>
                <w:b/>
              </w:rPr>
              <w:t xml:space="preserve">Adjusted Value </w:t>
            </w:r>
          </w:p>
        </w:tc>
        <w:tc>
          <w:tcPr>
            <w:tcW w:w="16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16" w:right="0" w:firstLine="0"/>
              <w:jc w:val="center"/>
            </w:pPr>
            <w:r>
              <w:rPr>
                <w:rFonts w:ascii="Calibri" w:eastAsia="Calibri" w:hAnsi="Calibri" w:cs="Calibri"/>
                <w:b/>
              </w:rPr>
              <w:t xml:space="preserve">Maximum </w:t>
            </w:r>
          </w:p>
          <w:p w:rsidR="00CA157D" w:rsidRDefault="00935285">
            <w:pPr>
              <w:spacing w:after="0" w:line="259" w:lineRule="auto"/>
              <w:ind w:left="17" w:right="0" w:firstLine="0"/>
              <w:jc w:val="center"/>
            </w:pPr>
            <w:r>
              <w:rPr>
                <w:rFonts w:ascii="Calibri" w:eastAsia="Calibri" w:hAnsi="Calibri" w:cs="Calibri"/>
                <w:b/>
              </w:rPr>
              <w:t xml:space="preserve">Time Charge </w:t>
            </w:r>
          </w:p>
          <w:p w:rsidR="00CA157D" w:rsidRDefault="00935285">
            <w:pPr>
              <w:spacing w:after="0" w:line="259" w:lineRule="auto"/>
              <w:ind w:left="17" w:right="0" w:firstLine="0"/>
              <w:jc w:val="center"/>
            </w:pPr>
            <w:r>
              <w:rPr>
                <w:rFonts w:ascii="Calibri" w:eastAsia="Calibri" w:hAnsi="Calibri" w:cs="Calibri"/>
                <w:b/>
              </w:rPr>
              <w:t xml:space="preserve">Fee Score </w:t>
            </w:r>
          </w:p>
          <w:p w:rsidR="00CA157D" w:rsidRDefault="00935285">
            <w:pPr>
              <w:spacing w:after="0" w:line="259" w:lineRule="auto"/>
              <w:ind w:left="16" w:right="0" w:firstLine="0"/>
              <w:jc w:val="center"/>
            </w:pPr>
            <w:r>
              <w:rPr>
                <w:rFonts w:ascii="Calibri" w:eastAsia="Calibri" w:hAnsi="Calibri" w:cs="Calibri"/>
                <w:b/>
              </w:rPr>
              <w:t xml:space="preserve">(Hourly) </w:t>
            </w:r>
          </w:p>
        </w:tc>
        <w:tc>
          <w:tcPr>
            <w:tcW w:w="1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19" w:right="0" w:firstLine="0"/>
              <w:jc w:val="center"/>
            </w:pPr>
            <w:r>
              <w:rPr>
                <w:rFonts w:ascii="Calibri" w:eastAsia="Calibri" w:hAnsi="Calibri" w:cs="Calibri"/>
                <w:b/>
              </w:rPr>
              <w:t xml:space="preserve">Lowest </w:t>
            </w:r>
          </w:p>
          <w:p w:rsidR="00CA157D" w:rsidRDefault="00935285">
            <w:pPr>
              <w:spacing w:after="0" w:line="259" w:lineRule="auto"/>
              <w:ind w:left="16" w:right="0" w:firstLine="0"/>
              <w:jc w:val="center"/>
            </w:pPr>
            <w:r>
              <w:rPr>
                <w:rFonts w:ascii="Calibri" w:eastAsia="Calibri" w:hAnsi="Calibri" w:cs="Calibri"/>
                <w:b/>
              </w:rPr>
              <w:t xml:space="preserve">Tender </w:t>
            </w:r>
          </w:p>
        </w:tc>
        <w:tc>
          <w:tcPr>
            <w:tcW w:w="135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center"/>
            </w:pPr>
            <w:r>
              <w:rPr>
                <w:rFonts w:ascii="Calibri" w:eastAsia="Calibri" w:hAnsi="Calibri" w:cs="Calibri"/>
                <w:b/>
              </w:rPr>
              <w:t xml:space="preserve">Weighted Score (%) </w:t>
            </w:r>
          </w:p>
        </w:tc>
      </w:tr>
      <w:tr w:rsidR="00CA157D">
        <w:trPr>
          <w:trHeight w:val="310"/>
        </w:trPr>
        <w:tc>
          <w:tcPr>
            <w:tcW w:w="1192"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107" w:right="0" w:firstLine="0"/>
              <w:jc w:val="left"/>
            </w:pPr>
            <w:r>
              <w:rPr>
                <w:rFonts w:ascii="Calibri" w:eastAsia="Calibri" w:hAnsi="Calibri" w:cs="Calibri"/>
              </w:rPr>
              <w:t xml:space="preserve">Supplier 1 </w:t>
            </w:r>
          </w:p>
        </w:tc>
        <w:tc>
          <w:tcPr>
            <w:tcW w:w="1277" w:type="dxa"/>
            <w:tcBorders>
              <w:top w:val="single" w:sz="4" w:space="0" w:color="000000"/>
              <w:left w:val="single" w:sz="4" w:space="0" w:color="000000"/>
              <w:bottom w:val="single" w:sz="4" w:space="0" w:color="000000"/>
              <w:right w:val="single" w:sz="4" w:space="0" w:color="000000"/>
            </w:tcBorders>
            <w:shd w:val="clear" w:color="auto" w:fill="5B9BD5"/>
          </w:tcPr>
          <w:p w:rsidR="00CA157D" w:rsidRDefault="00935285">
            <w:pPr>
              <w:spacing w:after="0" w:line="259" w:lineRule="auto"/>
              <w:ind w:left="0" w:right="92" w:firstLine="0"/>
              <w:jc w:val="right"/>
            </w:pPr>
            <w:r>
              <w:rPr>
                <w:rFonts w:ascii="Calibri" w:eastAsia="Calibri" w:hAnsi="Calibri" w:cs="Calibri"/>
              </w:rPr>
              <w:t xml:space="preserve">£200.00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90" w:firstLine="0"/>
              <w:jc w:val="right"/>
            </w:pPr>
            <w:r>
              <w:rPr>
                <w:rFonts w:ascii="Calibri" w:eastAsia="Calibri" w:hAnsi="Calibri" w:cs="Calibri"/>
              </w:rPr>
              <w:t xml:space="preserve">2.500% </w:t>
            </w:r>
          </w:p>
        </w:tc>
        <w:tc>
          <w:tcPr>
            <w:tcW w:w="151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38" w:firstLine="0"/>
              <w:jc w:val="right"/>
            </w:pPr>
            <w:r>
              <w:rPr>
                <w:rFonts w:ascii="Calibri" w:eastAsia="Calibri" w:hAnsi="Calibri" w:cs="Calibri"/>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ED7D31"/>
          </w:tcPr>
          <w:p w:rsidR="00CA157D" w:rsidRDefault="00935285">
            <w:pPr>
              <w:spacing w:after="0" w:line="259" w:lineRule="auto"/>
              <w:ind w:left="0" w:right="90" w:firstLine="0"/>
              <w:jc w:val="right"/>
            </w:pPr>
            <w:r>
              <w:rPr>
                <w:rFonts w:ascii="Calibri" w:eastAsia="Calibri" w:hAnsi="Calibri" w:cs="Calibri"/>
              </w:rPr>
              <w:t xml:space="preserve">1.880% </w:t>
            </w:r>
          </w:p>
        </w:tc>
      </w:tr>
      <w:tr w:rsidR="00CA157D">
        <w:trPr>
          <w:trHeight w:val="310"/>
        </w:trPr>
        <w:tc>
          <w:tcPr>
            <w:tcW w:w="1192"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107" w:right="0" w:firstLine="0"/>
              <w:jc w:val="left"/>
            </w:pPr>
            <w:r>
              <w:rPr>
                <w:rFonts w:ascii="Calibri" w:eastAsia="Calibri" w:hAnsi="Calibri" w:cs="Calibri"/>
              </w:rPr>
              <w:t xml:space="preserve">Supplier 2 </w:t>
            </w:r>
          </w:p>
        </w:tc>
        <w:tc>
          <w:tcPr>
            <w:tcW w:w="1277" w:type="dxa"/>
            <w:tcBorders>
              <w:top w:val="single" w:sz="4" w:space="0" w:color="000000"/>
              <w:left w:val="single" w:sz="4" w:space="0" w:color="000000"/>
              <w:bottom w:val="single" w:sz="4" w:space="0" w:color="000000"/>
              <w:right w:val="single" w:sz="4" w:space="0" w:color="000000"/>
            </w:tcBorders>
            <w:shd w:val="clear" w:color="auto" w:fill="5B9BD5"/>
          </w:tcPr>
          <w:p w:rsidR="00CA157D" w:rsidRDefault="00935285">
            <w:pPr>
              <w:spacing w:after="0" w:line="259" w:lineRule="auto"/>
              <w:ind w:left="0" w:right="92" w:firstLine="0"/>
              <w:jc w:val="right"/>
            </w:pPr>
            <w:r>
              <w:rPr>
                <w:rFonts w:ascii="Calibri" w:eastAsia="Calibri" w:hAnsi="Calibri" w:cs="Calibri"/>
              </w:rPr>
              <w:t xml:space="preserve">£175.00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90" w:firstLine="0"/>
              <w:jc w:val="right"/>
            </w:pPr>
            <w:r>
              <w:rPr>
                <w:rFonts w:ascii="Calibri" w:eastAsia="Calibri" w:hAnsi="Calibri" w:cs="Calibri"/>
              </w:rPr>
              <w:t xml:space="preserve">2.500% </w:t>
            </w:r>
          </w:p>
        </w:tc>
        <w:tc>
          <w:tcPr>
            <w:tcW w:w="151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38" w:firstLine="0"/>
              <w:jc w:val="right"/>
            </w:pPr>
            <w:r>
              <w:rPr>
                <w:rFonts w:ascii="Calibri" w:eastAsia="Calibri" w:hAnsi="Calibri" w:cs="Calibri"/>
              </w:rPr>
              <w:t xml:space="preserve"> </w:t>
            </w:r>
          </w:p>
        </w:tc>
        <w:tc>
          <w:tcPr>
            <w:tcW w:w="1351" w:type="dxa"/>
            <w:tcBorders>
              <w:top w:val="single" w:sz="4" w:space="0" w:color="000000"/>
              <w:left w:val="single" w:sz="4" w:space="0" w:color="000000"/>
              <w:bottom w:val="single" w:sz="4" w:space="0" w:color="000000"/>
              <w:right w:val="single" w:sz="4" w:space="0" w:color="000000"/>
            </w:tcBorders>
            <w:shd w:val="clear" w:color="auto" w:fill="ED7D31"/>
          </w:tcPr>
          <w:p w:rsidR="00CA157D" w:rsidRDefault="00935285">
            <w:pPr>
              <w:spacing w:after="0" w:line="259" w:lineRule="auto"/>
              <w:ind w:left="0" w:right="90" w:firstLine="0"/>
              <w:jc w:val="right"/>
            </w:pPr>
            <w:r>
              <w:rPr>
                <w:rFonts w:ascii="Calibri" w:eastAsia="Calibri" w:hAnsi="Calibri" w:cs="Calibri"/>
              </w:rPr>
              <w:t xml:space="preserve">2.140% </w:t>
            </w:r>
          </w:p>
        </w:tc>
      </w:tr>
      <w:tr w:rsidR="00CA157D">
        <w:trPr>
          <w:trHeight w:val="308"/>
        </w:trPr>
        <w:tc>
          <w:tcPr>
            <w:tcW w:w="1192"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107" w:right="0" w:firstLine="0"/>
              <w:jc w:val="left"/>
            </w:pPr>
            <w:r>
              <w:rPr>
                <w:rFonts w:ascii="Calibri" w:eastAsia="Calibri" w:hAnsi="Calibri" w:cs="Calibri"/>
              </w:rPr>
              <w:t xml:space="preserve">Supplier 3 </w:t>
            </w:r>
          </w:p>
        </w:tc>
        <w:tc>
          <w:tcPr>
            <w:tcW w:w="1277" w:type="dxa"/>
            <w:tcBorders>
              <w:top w:val="single" w:sz="4" w:space="0" w:color="000000"/>
              <w:left w:val="single" w:sz="4" w:space="0" w:color="000000"/>
              <w:bottom w:val="single" w:sz="4" w:space="0" w:color="000000"/>
              <w:right w:val="single" w:sz="4" w:space="0" w:color="000000"/>
            </w:tcBorders>
            <w:shd w:val="clear" w:color="auto" w:fill="5B9BD5"/>
          </w:tcPr>
          <w:p w:rsidR="00CA157D" w:rsidRDefault="00935285">
            <w:pPr>
              <w:spacing w:after="0" w:line="259" w:lineRule="auto"/>
              <w:ind w:left="0" w:right="92" w:firstLine="0"/>
              <w:jc w:val="right"/>
            </w:pPr>
            <w:r>
              <w:rPr>
                <w:rFonts w:ascii="Calibri" w:eastAsia="Calibri" w:hAnsi="Calibri" w:cs="Calibri"/>
              </w:rPr>
              <w:t xml:space="preserve">£150.00 </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Pr>
          <w:p w:rsidR="00CA157D" w:rsidRDefault="00935285">
            <w:pPr>
              <w:spacing w:after="0" w:line="259" w:lineRule="auto"/>
              <w:ind w:left="0" w:right="90" w:firstLine="0"/>
              <w:jc w:val="right"/>
            </w:pPr>
            <w:r>
              <w:rPr>
                <w:rFonts w:ascii="Calibri" w:eastAsia="Calibri" w:hAnsi="Calibri" w:cs="Calibri"/>
              </w:rPr>
              <w:t xml:space="preserve">2.500% </w:t>
            </w:r>
          </w:p>
        </w:tc>
        <w:tc>
          <w:tcPr>
            <w:tcW w:w="151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88" w:firstLine="0"/>
              <w:jc w:val="right"/>
            </w:pPr>
            <w:r>
              <w:rPr>
                <w:rFonts w:ascii="Calibri" w:eastAsia="Calibri" w:hAnsi="Calibri" w:cs="Calibri"/>
              </w:rPr>
              <w:t xml:space="preserve">£150.00 </w:t>
            </w:r>
          </w:p>
        </w:tc>
        <w:tc>
          <w:tcPr>
            <w:tcW w:w="1351" w:type="dxa"/>
            <w:tcBorders>
              <w:top w:val="single" w:sz="4" w:space="0" w:color="000000"/>
              <w:left w:val="single" w:sz="4" w:space="0" w:color="000000"/>
              <w:bottom w:val="single" w:sz="4" w:space="0" w:color="000000"/>
              <w:right w:val="single" w:sz="4" w:space="0" w:color="000000"/>
            </w:tcBorders>
            <w:shd w:val="clear" w:color="auto" w:fill="ED7D31"/>
          </w:tcPr>
          <w:p w:rsidR="00CA157D" w:rsidRDefault="00935285">
            <w:pPr>
              <w:spacing w:after="0" w:line="259" w:lineRule="auto"/>
              <w:ind w:left="0" w:right="91" w:firstLine="0"/>
              <w:jc w:val="right"/>
            </w:pPr>
            <w:r>
              <w:rPr>
                <w:rFonts w:ascii="Calibri" w:eastAsia="Calibri" w:hAnsi="Calibri" w:cs="Calibri"/>
              </w:rPr>
              <w:t xml:space="preserve">2.500% </w:t>
            </w:r>
          </w:p>
        </w:tc>
      </w:tr>
    </w:tbl>
    <w:p w:rsidR="00CA157D" w:rsidRDefault="00935285">
      <w:pPr>
        <w:spacing w:after="272"/>
        <w:ind w:left="1418" w:right="50" w:hanging="698"/>
      </w:pPr>
      <w:r>
        <w:t xml:space="preserve">17.3.3. The Potential Provider’s ‘Weighted Score’ (highlighted orange), is combined for each Core Service Discipline and provides a ‘Total Time Charge Fee Score’, with a maximum Time Charge Fee score of 5% (including both Hourly and Daily maximum scores) available to Potential Providers. </w:t>
      </w:r>
    </w:p>
    <w:p w:rsidR="00CA157D" w:rsidRDefault="00935285">
      <w:pPr>
        <w:spacing w:after="0" w:line="259" w:lineRule="auto"/>
        <w:ind w:left="0" w:right="0" w:firstLine="0"/>
        <w:jc w:val="left"/>
      </w:pPr>
      <w:r>
        <w:t xml:space="preserve"> </w:t>
      </w:r>
      <w:r>
        <w:tab/>
        <w:t xml:space="preserve"> </w:t>
      </w:r>
    </w:p>
    <w:p w:rsidR="00CA157D" w:rsidRDefault="00935285">
      <w:pPr>
        <w:spacing w:after="259" w:line="259" w:lineRule="auto"/>
        <w:ind w:left="1418" w:right="0" w:firstLine="0"/>
        <w:jc w:val="left"/>
      </w:pPr>
      <w:r>
        <w:rPr>
          <w:b/>
        </w:rPr>
        <w:t xml:space="preserve"> </w:t>
      </w:r>
    </w:p>
    <w:p w:rsidR="00CA157D" w:rsidRDefault="00935285">
      <w:pPr>
        <w:pStyle w:val="Heading3"/>
        <w:tabs>
          <w:tab w:val="center" w:pos="2482"/>
        </w:tabs>
        <w:spacing w:after="105" w:line="259" w:lineRule="auto"/>
        <w:ind w:left="-15" w:firstLine="0"/>
        <w:jc w:val="left"/>
      </w:pPr>
      <w:r>
        <w:t xml:space="preserve">18. </w:t>
      </w:r>
      <w:r>
        <w:tab/>
      </w:r>
      <w:r>
        <w:rPr>
          <w:u w:val="single" w:color="000000"/>
        </w:rPr>
        <w:t>Final Tender Summary Evaluation</w:t>
      </w:r>
      <w:r>
        <w:t xml:space="preserve"> </w:t>
      </w:r>
    </w:p>
    <w:p w:rsidR="00CA157D" w:rsidRDefault="00935285">
      <w:pPr>
        <w:spacing w:after="151"/>
        <w:ind w:left="693" w:right="50" w:hanging="708"/>
      </w:pPr>
      <w:r>
        <w:t xml:space="preserve">18.1. Upon completion of the ‘Total Percentage Project Fee Score’ and ‘Total Time Charge Fee Score’ evaluation, the two scores are combined to provide a final ‘Total Weighted Score’. </w:t>
      </w:r>
    </w:p>
    <w:p w:rsidR="00CA157D" w:rsidRDefault="00935285">
      <w:pPr>
        <w:spacing w:after="11"/>
        <w:ind w:right="50"/>
      </w:pPr>
      <w:r>
        <w:t xml:space="preserve">Example of Final ‘Total Weighted Score’: </w:t>
      </w:r>
    </w:p>
    <w:tbl>
      <w:tblPr>
        <w:tblStyle w:val="TableGrid"/>
        <w:tblW w:w="7533" w:type="dxa"/>
        <w:tblInd w:w="786" w:type="dxa"/>
        <w:tblCellMar>
          <w:top w:w="44" w:type="dxa"/>
          <w:left w:w="107" w:type="dxa"/>
          <w:right w:w="57" w:type="dxa"/>
        </w:tblCellMar>
        <w:tblLook w:val="04A0" w:firstRow="1" w:lastRow="0" w:firstColumn="1" w:lastColumn="0" w:noHBand="0" w:noVBand="1"/>
      </w:tblPr>
      <w:tblGrid>
        <w:gridCol w:w="3393"/>
        <w:gridCol w:w="1381"/>
        <w:gridCol w:w="1380"/>
        <w:gridCol w:w="1379"/>
      </w:tblGrid>
      <w:tr w:rsidR="00CA157D">
        <w:trPr>
          <w:trHeight w:val="1082"/>
        </w:trPr>
        <w:tc>
          <w:tcPr>
            <w:tcW w:w="339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0" w:firstLine="0"/>
              <w:jc w:val="left"/>
            </w:pPr>
            <w:r>
              <w:rPr>
                <w:rFonts w:ascii="Calibri" w:eastAsia="Calibri" w:hAnsi="Calibri" w:cs="Calibri"/>
                <w:b/>
              </w:rPr>
              <w:t xml:space="preserve">Tenderer </w:t>
            </w:r>
          </w:p>
        </w:tc>
        <w:tc>
          <w:tcPr>
            <w:tcW w:w="1381" w:type="dxa"/>
            <w:tcBorders>
              <w:top w:val="single" w:sz="4" w:space="0" w:color="000000"/>
              <w:left w:val="single" w:sz="4" w:space="0" w:color="000000"/>
              <w:bottom w:val="single" w:sz="4" w:space="0" w:color="000000"/>
              <w:right w:val="single" w:sz="4" w:space="0" w:color="000000"/>
            </w:tcBorders>
            <w:shd w:val="clear" w:color="auto" w:fill="CCFFCC"/>
          </w:tcPr>
          <w:p w:rsidR="00CA157D" w:rsidRDefault="00935285">
            <w:pPr>
              <w:spacing w:after="0" w:line="259" w:lineRule="auto"/>
              <w:ind w:left="0" w:right="51" w:firstLine="0"/>
              <w:jc w:val="center"/>
            </w:pPr>
            <w:r>
              <w:rPr>
                <w:rFonts w:ascii="Calibri" w:eastAsia="Calibri" w:hAnsi="Calibri" w:cs="Calibri"/>
                <w:b/>
              </w:rPr>
              <w:t xml:space="preserve">Total </w:t>
            </w:r>
          </w:p>
          <w:p w:rsidR="00CA157D" w:rsidRDefault="00935285">
            <w:pPr>
              <w:spacing w:after="0" w:line="259" w:lineRule="auto"/>
              <w:ind w:left="69" w:right="0" w:firstLine="0"/>
              <w:jc w:val="left"/>
            </w:pPr>
            <w:r>
              <w:rPr>
                <w:rFonts w:ascii="Calibri" w:eastAsia="Calibri" w:hAnsi="Calibri" w:cs="Calibri"/>
                <w:b/>
              </w:rPr>
              <w:t xml:space="preserve">Percentage </w:t>
            </w:r>
          </w:p>
          <w:p w:rsidR="00CA157D" w:rsidRDefault="00935285">
            <w:pPr>
              <w:spacing w:after="0" w:line="259" w:lineRule="auto"/>
              <w:ind w:left="0" w:right="0" w:firstLine="0"/>
              <w:jc w:val="center"/>
            </w:pPr>
            <w:r>
              <w:rPr>
                <w:rFonts w:ascii="Calibri" w:eastAsia="Calibri" w:hAnsi="Calibri" w:cs="Calibri"/>
                <w:b/>
              </w:rPr>
              <w:t xml:space="preserve">Project Fee Score </w:t>
            </w:r>
          </w:p>
        </w:tc>
        <w:tc>
          <w:tcPr>
            <w:tcW w:w="13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53" w:firstLine="0"/>
              <w:jc w:val="center"/>
            </w:pPr>
            <w:r>
              <w:rPr>
                <w:rFonts w:ascii="Calibri" w:eastAsia="Calibri" w:hAnsi="Calibri" w:cs="Calibri"/>
                <w:b/>
              </w:rPr>
              <w:t xml:space="preserve">Total Time </w:t>
            </w:r>
          </w:p>
          <w:p w:rsidR="00CA157D" w:rsidRDefault="00935285">
            <w:pPr>
              <w:spacing w:after="0" w:line="259" w:lineRule="auto"/>
              <w:ind w:left="0" w:right="52" w:firstLine="0"/>
              <w:jc w:val="center"/>
            </w:pPr>
            <w:r>
              <w:rPr>
                <w:rFonts w:ascii="Calibri" w:eastAsia="Calibri" w:hAnsi="Calibri" w:cs="Calibri"/>
                <w:b/>
              </w:rPr>
              <w:t xml:space="preserve">Charge </w:t>
            </w:r>
          </w:p>
          <w:p w:rsidR="00CA157D" w:rsidRDefault="00935285">
            <w:pPr>
              <w:spacing w:after="0" w:line="259" w:lineRule="auto"/>
              <w:ind w:left="0" w:right="52" w:firstLine="0"/>
              <w:jc w:val="center"/>
            </w:pPr>
            <w:r>
              <w:rPr>
                <w:rFonts w:ascii="Calibri" w:eastAsia="Calibri" w:hAnsi="Calibri" w:cs="Calibri"/>
                <w:b/>
              </w:rPr>
              <w:t xml:space="preserve">Score </w:t>
            </w:r>
          </w:p>
        </w:tc>
        <w:tc>
          <w:tcPr>
            <w:tcW w:w="13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A157D" w:rsidRDefault="00935285">
            <w:pPr>
              <w:spacing w:after="0" w:line="259" w:lineRule="auto"/>
              <w:ind w:left="0" w:right="50" w:firstLine="0"/>
              <w:jc w:val="center"/>
            </w:pPr>
            <w:r>
              <w:rPr>
                <w:rFonts w:ascii="Calibri" w:eastAsia="Calibri" w:hAnsi="Calibri" w:cs="Calibri"/>
                <w:b/>
              </w:rPr>
              <w:t xml:space="preserve">Total </w:t>
            </w:r>
          </w:p>
          <w:p w:rsidR="00CA157D" w:rsidRDefault="00935285">
            <w:pPr>
              <w:spacing w:after="0" w:line="259" w:lineRule="auto"/>
              <w:ind w:left="0" w:right="0" w:firstLine="0"/>
              <w:jc w:val="center"/>
            </w:pPr>
            <w:r>
              <w:rPr>
                <w:rFonts w:ascii="Calibri" w:eastAsia="Calibri" w:hAnsi="Calibri" w:cs="Calibri"/>
                <w:b/>
              </w:rPr>
              <w:t xml:space="preserve">Weighted Score </w:t>
            </w:r>
          </w:p>
        </w:tc>
      </w:tr>
      <w:tr w:rsidR="00CA157D">
        <w:trPr>
          <w:trHeight w:val="311"/>
        </w:trPr>
        <w:tc>
          <w:tcPr>
            <w:tcW w:w="339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rPr>
                <w:rFonts w:ascii="Calibri" w:eastAsia="Calibri" w:hAnsi="Calibri" w:cs="Calibri"/>
              </w:rPr>
              <w:t xml:space="preserve">Supplier 1 </w:t>
            </w:r>
          </w:p>
        </w:tc>
        <w:tc>
          <w:tcPr>
            <w:tcW w:w="138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0" w:firstLine="0"/>
              <w:jc w:val="right"/>
            </w:pPr>
            <w:r>
              <w:rPr>
                <w:rFonts w:ascii="Calibri" w:eastAsia="Calibri" w:hAnsi="Calibri" w:cs="Calibri"/>
              </w:rPr>
              <w:t xml:space="preserve">15.020% </w:t>
            </w:r>
          </w:p>
        </w:tc>
        <w:tc>
          <w:tcPr>
            <w:tcW w:w="138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right"/>
            </w:pPr>
            <w:r>
              <w:rPr>
                <w:rFonts w:ascii="Calibri" w:eastAsia="Calibri" w:hAnsi="Calibri" w:cs="Calibri"/>
              </w:rPr>
              <w:t xml:space="preserve">3.070% </w:t>
            </w:r>
          </w:p>
        </w:tc>
        <w:tc>
          <w:tcPr>
            <w:tcW w:w="1379"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right"/>
            </w:pPr>
            <w:r>
              <w:rPr>
                <w:rFonts w:ascii="Calibri" w:eastAsia="Calibri" w:hAnsi="Calibri" w:cs="Calibri"/>
              </w:rPr>
              <w:t xml:space="preserve">18.090% </w:t>
            </w:r>
          </w:p>
        </w:tc>
      </w:tr>
      <w:tr w:rsidR="00CA157D">
        <w:trPr>
          <w:trHeight w:val="310"/>
        </w:trPr>
        <w:tc>
          <w:tcPr>
            <w:tcW w:w="339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rPr>
                <w:rFonts w:ascii="Calibri" w:eastAsia="Calibri" w:hAnsi="Calibri" w:cs="Calibri"/>
              </w:rPr>
              <w:t xml:space="preserve">Supplier 2 </w:t>
            </w:r>
          </w:p>
        </w:tc>
        <w:tc>
          <w:tcPr>
            <w:tcW w:w="138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0" w:firstLine="0"/>
              <w:jc w:val="right"/>
            </w:pPr>
            <w:r>
              <w:rPr>
                <w:rFonts w:ascii="Calibri" w:eastAsia="Calibri" w:hAnsi="Calibri" w:cs="Calibri"/>
              </w:rPr>
              <w:t xml:space="preserve">20.000% </w:t>
            </w:r>
          </w:p>
        </w:tc>
        <w:tc>
          <w:tcPr>
            <w:tcW w:w="138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0" w:firstLine="0"/>
              <w:jc w:val="right"/>
            </w:pPr>
            <w:r>
              <w:rPr>
                <w:rFonts w:ascii="Calibri" w:eastAsia="Calibri" w:hAnsi="Calibri" w:cs="Calibri"/>
              </w:rPr>
              <w:t xml:space="preserve">5.000% </w:t>
            </w:r>
          </w:p>
        </w:tc>
        <w:tc>
          <w:tcPr>
            <w:tcW w:w="1379"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right"/>
            </w:pPr>
            <w:r>
              <w:rPr>
                <w:rFonts w:ascii="Calibri" w:eastAsia="Calibri" w:hAnsi="Calibri" w:cs="Calibri"/>
              </w:rPr>
              <w:t xml:space="preserve">25.000% </w:t>
            </w:r>
          </w:p>
        </w:tc>
      </w:tr>
      <w:tr w:rsidR="00CA157D">
        <w:trPr>
          <w:trHeight w:val="312"/>
        </w:trPr>
        <w:tc>
          <w:tcPr>
            <w:tcW w:w="3393"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0" w:firstLine="0"/>
              <w:jc w:val="left"/>
            </w:pPr>
            <w:r>
              <w:rPr>
                <w:rFonts w:ascii="Calibri" w:eastAsia="Calibri" w:hAnsi="Calibri" w:cs="Calibri"/>
              </w:rPr>
              <w:t xml:space="preserve">Supplier 3 </w:t>
            </w:r>
          </w:p>
        </w:tc>
        <w:tc>
          <w:tcPr>
            <w:tcW w:w="1381"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0" w:firstLine="0"/>
              <w:jc w:val="right"/>
            </w:pPr>
            <w:r>
              <w:rPr>
                <w:rFonts w:ascii="Calibri" w:eastAsia="Calibri" w:hAnsi="Calibri" w:cs="Calibri"/>
              </w:rPr>
              <w:t xml:space="preserve">18.350% </w:t>
            </w:r>
          </w:p>
        </w:tc>
        <w:tc>
          <w:tcPr>
            <w:tcW w:w="1380"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50" w:firstLine="0"/>
              <w:jc w:val="right"/>
            </w:pPr>
            <w:r>
              <w:rPr>
                <w:rFonts w:ascii="Calibri" w:eastAsia="Calibri" w:hAnsi="Calibri" w:cs="Calibri"/>
              </w:rPr>
              <w:t xml:space="preserve">3.850% </w:t>
            </w:r>
          </w:p>
        </w:tc>
        <w:tc>
          <w:tcPr>
            <w:tcW w:w="1379" w:type="dxa"/>
            <w:tcBorders>
              <w:top w:val="single" w:sz="4" w:space="0" w:color="000000"/>
              <w:left w:val="single" w:sz="4" w:space="0" w:color="000000"/>
              <w:bottom w:val="single" w:sz="4" w:space="0" w:color="000000"/>
              <w:right w:val="single" w:sz="4" w:space="0" w:color="000000"/>
            </w:tcBorders>
          </w:tcPr>
          <w:p w:rsidR="00CA157D" w:rsidRDefault="00935285">
            <w:pPr>
              <w:spacing w:after="0" w:line="259" w:lineRule="auto"/>
              <w:ind w:left="0" w:right="49" w:firstLine="0"/>
              <w:jc w:val="right"/>
            </w:pPr>
            <w:r>
              <w:rPr>
                <w:rFonts w:ascii="Calibri" w:eastAsia="Calibri" w:hAnsi="Calibri" w:cs="Calibri"/>
              </w:rPr>
              <w:t xml:space="preserve">22.200% </w:t>
            </w:r>
          </w:p>
        </w:tc>
      </w:tr>
    </w:tbl>
    <w:p w:rsidR="00CA157D" w:rsidRDefault="00935285">
      <w:pPr>
        <w:spacing w:after="0" w:line="259" w:lineRule="auto"/>
        <w:ind w:left="0" w:right="0" w:firstLine="0"/>
        <w:jc w:val="left"/>
      </w:pPr>
      <w:r>
        <w:t xml:space="preserve"> </w:t>
      </w:r>
      <w:r>
        <w:tab/>
        <w:t xml:space="preserve"> </w:t>
      </w:r>
      <w:r>
        <w:br w:type="page"/>
      </w:r>
    </w:p>
    <w:p w:rsidR="00CA157D" w:rsidRDefault="00935285">
      <w:pPr>
        <w:pStyle w:val="Heading2"/>
        <w:spacing w:after="221" w:line="259" w:lineRule="auto"/>
        <w:ind w:left="-5"/>
        <w:jc w:val="left"/>
      </w:pPr>
      <w:r>
        <w:rPr>
          <w:u w:val="single" w:color="000000"/>
        </w:rPr>
        <w:t>ANNEX A - DISCIPLINES &amp; SERVICES</w:t>
      </w:r>
      <w:r>
        <w:t xml:space="preserve"> </w:t>
      </w:r>
    </w:p>
    <w:p w:rsidR="00CA157D" w:rsidRDefault="00935285">
      <w:pPr>
        <w:numPr>
          <w:ilvl w:val="0"/>
          <w:numId w:val="7"/>
        </w:numPr>
        <w:ind w:right="50" w:hanging="852"/>
      </w:pPr>
      <w:r>
        <w:t xml:space="preserve">Core Service Disciplines </w:t>
      </w:r>
    </w:p>
    <w:p w:rsidR="00CA157D" w:rsidRDefault="00935285">
      <w:pPr>
        <w:numPr>
          <w:ilvl w:val="1"/>
          <w:numId w:val="7"/>
        </w:numPr>
        <w:spacing w:after="294"/>
        <w:ind w:right="45" w:hanging="785"/>
        <w:jc w:val="left"/>
      </w:pPr>
      <w:r>
        <w:t xml:space="preserve">The Core Service Disciplines are set out below:- </w:t>
      </w:r>
    </w:p>
    <w:p w:rsidR="00CA157D" w:rsidRDefault="00935285">
      <w:pPr>
        <w:numPr>
          <w:ilvl w:val="2"/>
          <w:numId w:val="7"/>
        </w:numPr>
        <w:spacing w:after="11"/>
        <w:ind w:right="50" w:hanging="720"/>
      </w:pPr>
      <w:r>
        <w:t xml:space="preserve">Project Lead </w:t>
      </w:r>
    </w:p>
    <w:p w:rsidR="00CA157D" w:rsidRDefault="00935285">
      <w:pPr>
        <w:numPr>
          <w:ilvl w:val="2"/>
          <w:numId w:val="7"/>
        </w:numPr>
        <w:spacing w:after="11"/>
        <w:ind w:right="50" w:hanging="720"/>
      </w:pPr>
      <w:r>
        <w:t xml:space="preserve">Architect  </w:t>
      </w:r>
    </w:p>
    <w:p w:rsidR="00CA157D" w:rsidRDefault="00935285">
      <w:pPr>
        <w:numPr>
          <w:ilvl w:val="2"/>
          <w:numId w:val="7"/>
        </w:numPr>
        <w:spacing w:after="11"/>
        <w:ind w:right="50" w:hanging="720"/>
      </w:pPr>
      <w:r>
        <w:t xml:space="preserve">Lead Designer </w:t>
      </w:r>
    </w:p>
    <w:p w:rsidR="00CA157D" w:rsidRDefault="00935285">
      <w:pPr>
        <w:numPr>
          <w:ilvl w:val="2"/>
          <w:numId w:val="7"/>
        </w:numPr>
        <w:spacing w:after="11"/>
        <w:ind w:right="50" w:hanging="720"/>
      </w:pPr>
      <w:r>
        <w:t xml:space="preserve">Building Services Engineer </w:t>
      </w:r>
    </w:p>
    <w:p w:rsidR="00CA157D" w:rsidRDefault="00935285">
      <w:pPr>
        <w:numPr>
          <w:ilvl w:val="2"/>
          <w:numId w:val="7"/>
        </w:numPr>
        <w:spacing w:after="11"/>
        <w:ind w:right="50" w:hanging="720"/>
      </w:pPr>
      <w:r>
        <w:t xml:space="preserve">Civil and Structural Engineer </w:t>
      </w:r>
    </w:p>
    <w:p w:rsidR="00CA157D" w:rsidRDefault="00935285">
      <w:pPr>
        <w:numPr>
          <w:ilvl w:val="2"/>
          <w:numId w:val="7"/>
        </w:numPr>
        <w:spacing w:after="11"/>
        <w:ind w:right="50" w:hanging="720"/>
      </w:pPr>
      <w:r>
        <w:t xml:space="preserve">Client Adviser </w:t>
      </w:r>
    </w:p>
    <w:p w:rsidR="00CA157D" w:rsidRDefault="00935285">
      <w:pPr>
        <w:numPr>
          <w:ilvl w:val="2"/>
          <w:numId w:val="7"/>
        </w:numPr>
        <w:spacing w:after="11"/>
        <w:ind w:right="50" w:hanging="720"/>
      </w:pPr>
      <w:r>
        <w:t xml:space="preserve">Cost Consultant (Quantity Surveyor) </w:t>
      </w:r>
    </w:p>
    <w:p w:rsidR="00CA157D" w:rsidRDefault="00935285">
      <w:pPr>
        <w:numPr>
          <w:ilvl w:val="2"/>
          <w:numId w:val="7"/>
        </w:numPr>
        <w:spacing w:after="11"/>
        <w:ind w:right="50" w:hanging="720"/>
      </w:pPr>
      <w:r>
        <w:t xml:space="preserve">Contract Administrator </w:t>
      </w:r>
    </w:p>
    <w:p w:rsidR="00CA157D" w:rsidRDefault="00935285">
      <w:pPr>
        <w:numPr>
          <w:ilvl w:val="2"/>
          <w:numId w:val="7"/>
        </w:numPr>
        <w:spacing w:after="11"/>
        <w:ind w:right="50" w:hanging="720"/>
      </w:pPr>
      <w:r>
        <w:t xml:space="preserve">Principal Designer </w:t>
      </w:r>
    </w:p>
    <w:p w:rsidR="00CA157D" w:rsidRDefault="00935285">
      <w:pPr>
        <w:numPr>
          <w:ilvl w:val="2"/>
          <w:numId w:val="7"/>
        </w:numPr>
        <w:spacing w:after="11"/>
        <w:ind w:right="50" w:hanging="720"/>
      </w:pPr>
      <w:r>
        <w:t xml:space="preserve">BIM Information Manager </w:t>
      </w:r>
    </w:p>
    <w:p w:rsidR="00CA157D" w:rsidRDefault="00935285">
      <w:pPr>
        <w:numPr>
          <w:ilvl w:val="2"/>
          <w:numId w:val="7"/>
        </w:numPr>
        <w:spacing w:after="70"/>
        <w:ind w:right="50" w:hanging="720"/>
      </w:pPr>
      <w:r>
        <w:t xml:space="preserve">BIM Co-Ordinator </w:t>
      </w:r>
    </w:p>
    <w:p w:rsidR="00CA157D" w:rsidRDefault="00935285">
      <w:pPr>
        <w:numPr>
          <w:ilvl w:val="1"/>
          <w:numId w:val="7"/>
        </w:numPr>
        <w:spacing w:after="119" w:line="243" w:lineRule="auto"/>
        <w:ind w:right="45" w:hanging="785"/>
        <w:jc w:val="left"/>
      </w:pPr>
      <w:r>
        <w:t xml:space="preserve">Full descriptions of each of the disciplines are set out at Framework </w:t>
      </w:r>
      <w:r>
        <w:rPr>
          <w:b/>
        </w:rPr>
        <w:t>Schedule 2: Services and Key Performance Indicators - Annex A – Schedule of Services (Attachment 9a).</w:t>
      </w:r>
      <w:r>
        <w:t xml:space="preserve"> </w:t>
      </w:r>
    </w:p>
    <w:p w:rsidR="00CA157D" w:rsidRDefault="00935285">
      <w:pPr>
        <w:numPr>
          <w:ilvl w:val="1"/>
          <w:numId w:val="7"/>
        </w:numPr>
        <w:spacing w:after="116" w:line="244" w:lineRule="auto"/>
        <w:ind w:right="45" w:hanging="785"/>
        <w:jc w:val="left"/>
      </w:pPr>
      <w:r>
        <w:t xml:space="preserve">Potential Providers shall review the scope of Services for each Core Service Discipline for each Procurement Type when completing the Price Model workbooks and ensure that the fees entered cover the </w:t>
      </w:r>
      <w:r>
        <w:rPr>
          <w:b/>
        </w:rPr>
        <w:t>full</w:t>
      </w:r>
      <w:r>
        <w:t xml:space="preserve"> Scope of Services specified. </w:t>
      </w:r>
    </w:p>
    <w:p w:rsidR="00CA157D" w:rsidRDefault="00935285">
      <w:pPr>
        <w:pStyle w:val="Heading3"/>
        <w:tabs>
          <w:tab w:val="center" w:pos="2393"/>
        </w:tabs>
        <w:ind w:left="-15" w:firstLine="0"/>
        <w:jc w:val="left"/>
      </w:pPr>
      <w:r>
        <w:t xml:space="preserve">1.4 </w:t>
      </w:r>
      <w:r>
        <w:tab/>
        <w:t xml:space="preserve">Non-Core Service Discipline(s) </w:t>
      </w:r>
    </w:p>
    <w:p w:rsidR="00CA157D" w:rsidRDefault="00935285">
      <w:pPr>
        <w:ind w:left="770" w:right="50" w:hanging="785"/>
      </w:pPr>
      <w:r>
        <w:t xml:space="preserve">1.5 </w:t>
      </w:r>
      <w:r>
        <w:tab/>
        <w:t xml:space="preserve">In addition to the Core Service Disciplines summarised above, the Framework may also require the provision of Non-Core Service Discipline(s). </w:t>
      </w:r>
    </w:p>
    <w:p w:rsidR="00CA157D" w:rsidRDefault="00935285">
      <w:pPr>
        <w:tabs>
          <w:tab w:val="center" w:pos="3121"/>
        </w:tabs>
        <w:spacing w:after="292"/>
        <w:ind w:left="-15" w:right="0" w:firstLine="0"/>
        <w:jc w:val="left"/>
      </w:pPr>
      <w:r>
        <w:t xml:space="preserve">1.6 </w:t>
      </w:r>
      <w:r>
        <w:tab/>
        <w:t xml:space="preserve">The Non-Core Services comprise the following:- </w:t>
      </w:r>
    </w:p>
    <w:p w:rsidR="00CA157D" w:rsidRDefault="00935285">
      <w:pPr>
        <w:numPr>
          <w:ilvl w:val="0"/>
          <w:numId w:val="8"/>
        </w:numPr>
        <w:spacing w:after="11"/>
        <w:ind w:right="50" w:hanging="720"/>
      </w:pPr>
      <w:r>
        <w:t xml:space="preserve">Access Surveyor (Disability Discrimination Act) </w:t>
      </w:r>
    </w:p>
    <w:p w:rsidR="00CA157D" w:rsidRDefault="00935285">
      <w:pPr>
        <w:numPr>
          <w:ilvl w:val="0"/>
          <w:numId w:val="8"/>
        </w:numPr>
        <w:spacing w:after="11"/>
        <w:ind w:right="50" w:hanging="720"/>
      </w:pPr>
      <w:r>
        <w:t xml:space="preserve">Acoustic Engineer </w:t>
      </w:r>
    </w:p>
    <w:p w:rsidR="00CA157D" w:rsidRDefault="00935285">
      <w:pPr>
        <w:numPr>
          <w:ilvl w:val="0"/>
          <w:numId w:val="8"/>
        </w:numPr>
        <w:spacing w:after="11"/>
        <w:ind w:right="50" w:hanging="720"/>
      </w:pPr>
      <w:r>
        <w:t xml:space="preserve">Asbestos Surveyor </w:t>
      </w:r>
    </w:p>
    <w:p w:rsidR="00CA157D" w:rsidRDefault="00935285">
      <w:pPr>
        <w:numPr>
          <w:ilvl w:val="0"/>
          <w:numId w:val="8"/>
        </w:numPr>
        <w:spacing w:after="11"/>
        <w:ind w:right="50" w:hanging="720"/>
      </w:pPr>
      <w:r>
        <w:t xml:space="preserve">Building Surveyor </w:t>
      </w:r>
    </w:p>
    <w:p w:rsidR="00CA157D" w:rsidRDefault="00935285">
      <w:pPr>
        <w:numPr>
          <w:ilvl w:val="0"/>
          <w:numId w:val="8"/>
        </w:numPr>
        <w:spacing w:after="11"/>
        <w:ind w:right="50" w:hanging="720"/>
      </w:pPr>
      <w:r>
        <w:t xml:space="preserve">Clerk of works (Supervisor role – NEC) </w:t>
      </w:r>
    </w:p>
    <w:p w:rsidR="00CA157D" w:rsidRDefault="00935285">
      <w:pPr>
        <w:numPr>
          <w:ilvl w:val="0"/>
          <w:numId w:val="8"/>
        </w:numPr>
        <w:spacing w:after="11"/>
        <w:ind w:right="50" w:hanging="720"/>
      </w:pPr>
      <w:r>
        <w:t xml:space="preserve">Conservation Architect </w:t>
      </w:r>
    </w:p>
    <w:p w:rsidR="00CA157D" w:rsidRDefault="00935285">
      <w:pPr>
        <w:numPr>
          <w:ilvl w:val="0"/>
          <w:numId w:val="8"/>
        </w:numPr>
        <w:spacing w:after="11"/>
        <w:ind w:right="50" w:hanging="720"/>
      </w:pPr>
      <w:r>
        <w:t xml:space="preserve">Construction Lead </w:t>
      </w:r>
    </w:p>
    <w:p w:rsidR="00CA157D" w:rsidRDefault="00935285">
      <w:pPr>
        <w:numPr>
          <w:ilvl w:val="0"/>
          <w:numId w:val="8"/>
        </w:numPr>
        <w:spacing w:after="11"/>
        <w:ind w:right="50" w:hanging="720"/>
      </w:pPr>
      <w:r>
        <w:t xml:space="preserve">Counter Terrorism Advice / Design </w:t>
      </w:r>
    </w:p>
    <w:p w:rsidR="00CA157D" w:rsidRDefault="00935285">
      <w:pPr>
        <w:numPr>
          <w:ilvl w:val="0"/>
          <w:numId w:val="8"/>
        </w:numPr>
        <w:spacing w:after="11"/>
        <w:ind w:right="50" w:hanging="720"/>
      </w:pPr>
      <w:r>
        <w:t xml:space="preserve">Environmental Services Advisor </w:t>
      </w:r>
    </w:p>
    <w:p w:rsidR="00CA157D" w:rsidRDefault="00935285">
      <w:pPr>
        <w:numPr>
          <w:ilvl w:val="0"/>
          <w:numId w:val="8"/>
        </w:numPr>
        <w:spacing w:after="11"/>
        <w:ind w:right="50" w:hanging="720"/>
      </w:pPr>
      <w:r>
        <w:t xml:space="preserve">Fire &amp; Sprinkler Engineer </w:t>
      </w:r>
    </w:p>
    <w:p w:rsidR="00CA157D" w:rsidRDefault="00935285">
      <w:pPr>
        <w:numPr>
          <w:ilvl w:val="0"/>
          <w:numId w:val="8"/>
        </w:numPr>
        <w:spacing w:after="11"/>
        <w:ind w:right="50" w:hanging="720"/>
      </w:pPr>
      <w:r>
        <w:t xml:space="preserve">General IT / Designer </w:t>
      </w:r>
    </w:p>
    <w:p w:rsidR="00CA157D" w:rsidRDefault="00935285">
      <w:pPr>
        <w:numPr>
          <w:ilvl w:val="0"/>
          <w:numId w:val="8"/>
        </w:numPr>
        <w:spacing w:after="11"/>
        <w:ind w:right="50" w:hanging="720"/>
      </w:pPr>
      <w:r>
        <w:t xml:space="preserve">Security Advisor </w:t>
      </w:r>
    </w:p>
    <w:p w:rsidR="00CA157D" w:rsidRDefault="00935285">
      <w:pPr>
        <w:numPr>
          <w:ilvl w:val="0"/>
          <w:numId w:val="8"/>
        </w:numPr>
        <w:spacing w:after="11"/>
        <w:ind w:right="50" w:hanging="720"/>
      </w:pPr>
      <w:r>
        <w:t xml:space="preserve">Health &amp; Safety Advisor </w:t>
      </w:r>
    </w:p>
    <w:p w:rsidR="00CA157D" w:rsidRDefault="00935285">
      <w:pPr>
        <w:numPr>
          <w:ilvl w:val="0"/>
          <w:numId w:val="8"/>
        </w:numPr>
        <w:spacing w:after="11"/>
        <w:ind w:right="50" w:hanging="720"/>
      </w:pPr>
      <w:r>
        <w:t xml:space="preserve">Interior Designer </w:t>
      </w:r>
    </w:p>
    <w:p w:rsidR="00CA157D" w:rsidRDefault="00935285">
      <w:pPr>
        <w:numPr>
          <w:ilvl w:val="0"/>
          <w:numId w:val="8"/>
        </w:numPr>
        <w:spacing w:after="11"/>
        <w:ind w:right="50" w:hanging="720"/>
      </w:pPr>
      <w:r>
        <w:t xml:space="preserve">Land Surveyor </w:t>
      </w:r>
    </w:p>
    <w:p w:rsidR="00CA157D" w:rsidRDefault="00935285">
      <w:pPr>
        <w:numPr>
          <w:ilvl w:val="0"/>
          <w:numId w:val="8"/>
        </w:numPr>
        <w:spacing w:after="11"/>
        <w:ind w:right="50" w:hanging="720"/>
      </w:pPr>
      <w:r>
        <w:t xml:space="preserve">Landscape Architect </w:t>
      </w:r>
    </w:p>
    <w:p w:rsidR="00CA157D" w:rsidRDefault="00935285">
      <w:pPr>
        <w:numPr>
          <w:ilvl w:val="0"/>
          <w:numId w:val="8"/>
        </w:numPr>
        <w:spacing w:after="11"/>
        <w:ind w:right="50" w:hanging="720"/>
      </w:pPr>
      <w:r>
        <w:t xml:space="preserve">Migration Planner and Manager </w:t>
      </w:r>
    </w:p>
    <w:p w:rsidR="00CA157D" w:rsidRDefault="00935285">
      <w:pPr>
        <w:numPr>
          <w:ilvl w:val="0"/>
          <w:numId w:val="8"/>
        </w:numPr>
        <w:spacing w:after="11"/>
        <w:ind w:right="50" w:hanging="720"/>
      </w:pPr>
      <w:r>
        <w:t xml:space="preserve">Public Health Advisor </w:t>
      </w:r>
    </w:p>
    <w:p w:rsidR="00CA157D" w:rsidRDefault="00935285">
      <w:pPr>
        <w:numPr>
          <w:ilvl w:val="0"/>
          <w:numId w:val="8"/>
        </w:numPr>
        <w:spacing w:after="11"/>
        <w:ind w:right="50" w:hanging="720"/>
      </w:pPr>
      <w:r>
        <w:t xml:space="preserve">Risk Advisor </w:t>
      </w:r>
    </w:p>
    <w:p w:rsidR="00CA157D" w:rsidRDefault="00935285">
      <w:pPr>
        <w:numPr>
          <w:ilvl w:val="0"/>
          <w:numId w:val="8"/>
        </w:numPr>
        <w:spacing w:after="11"/>
        <w:ind w:right="50" w:hanging="720"/>
      </w:pPr>
      <w:r>
        <w:t xml:space="preserve">Space Planning &amp; Design Services Advisor </w:t>
      </w:r>
    </w:p>
    <w:p w:rsidR="00CA157D" w:rsidRDefault="00935285">
      <w:pPr>
        <w:numPr>
          <w:ilvl w:val="0"/>
          <w:numId w:val="8"/>
        </w:numPr>
        <w:ind w:right="50" w:hanging="720"/>
      </w:pPr>
      <w:r>
        <w:t xml:space="preserve">Town Planning Consultant </w:t>
      </w:r>
    </w:p>
    <w:p w:rsidR="00CA157D" w:rsidRDefault="00935285">
      <w:pPr>
        <w:numPr>
          <w:ilvl w:val="0"/>
          <w:numId w:val="8"/>
        </w:numPr>
        <w:spacing w:after="11"/>
        <w:ind w:right="50" w:hanging="720"/>
      </w:pPr>
      <w:r>
        <w:t xml:space="preserve">Technical Author </w:t>
      </w:r>
    </w:p>
    <w:p w:rsidR="00CA157D" w:rsidRDefault="00935285">
      <w:pPr>
        <w:numPr>
          <w:ilvl w:val="0"/>
          <w:numId w:val="8"/>
        </w:numPr>
        <w:spacing w:after="234"/>
        <w:ind w:right="50" w:hanging="720"/>
      </w:pPr>
      <w:r>
        <w:t xml:space="preserve">Waste Management Advisor </w:t>
      </w:r>
    </w:p>
    <w:p w:rsidR="00CA157D" w:rsidRDefault="00935285">
      <w:pPr>
        <w:spacing w:after="116" w:line="244" w:lineRule="auto"/>
        <w:ind w:left="770" w:right="45" w:hanging="785"/>
        <w:jc w:val="left"/>
      </w:pPr>
      <w:r>
        <w:t xml:space="preserve">1.7 </w:t>
      </w:r>
      <w:r>
        <w:tab/>
        <w:t xml:space="preserve">The interface between the Core Service Disciplines and the Non-Core Service Discipline Services will be finalised at the time of the Call Off Procedures, but an outline indication is as follows:- </w:t>
      </w:r>
    </w:p>
    <w:p w:rsidR="00CA157D" w:rsidRDefault="00935285">
      <w:pPr>
        <w:numPr>
          <w:ilvl w:val="2"/>
          <w:numId w:val="9"/>
        </w:numPr>
        <w:spacing w:after="116" w:line="244" w:lineRule="auto"/>
        <w:ind w:right="45" w:hanging="720"/>
        <w:jc w:val="left"/>
      </w:pPr>
      <w:r>
        <w:t xml:space="preserve">The Non-Core Service Disciplines may include a requirement for surveys and reports, advice at feasibility and concept design stages, provision of design and specification for equipment or other items of work within the Non-Core Service Discipline specialism and site visits during construction as necessary.  </w:t>
      </w:r>
    </w:p>
    <w:p w:rsidR="00CA157D" w:rsidRDefault="00935285">
      <w:pPr>
        <w:numPr>
          <w:ilvl w:val="2"/>
          <w:numId w:val="9"/>
        </w:numPr>
        <w:spacing w:after="116" w:line="244" w:lineRule="auto"/>
        <w:ind w:right="45" w:hanging="720"/>
        <w:jc w:val="left"/>
      </w:pPr>
      <w:r>
        <w:t xml:space="preserve">The requirement for the Non Core Service Discipline(s) is likely to be in addition to the provision of the Core Service Disciplines.  However, Contracting Authorities may only require Non Core Service Disciplines.  </w:t>
      </w:r>
    </w:p>
    <w:p w:rsidR="00CA157D" w:rsidRDefault="00935285">
      <w:pPr>
        <w:numPr>
          <w:ilvl w:val="2"/>
          <w:numId w:val="9"/>
        </w:numPr>
        <w:spacing w:after="11"/>
        <w:ind w:right="45" w:hanging="720"/>
        <w:jc w:val="left"/>
      </w:pPr>
      <w:r>
        <w:t xml:space="preserve">Non-Core Service Discipline(s) will be priced as part of a Call Off </w:t>
      </w:r>
    </w:p>
    <w:p w:rsidR="00CA157D" w:rsidRDefault="00935285">
      <w:pPr>
        <w:tabs>
          <w:tab w:val="center" w:pos="2698"/>
          <w:tab w:val="center" w:pos="6116"/>
        </w:tabs>
        <w:ind w:left="0" w:right="0" w:firstLine="0"/>
        <w:jc w:val="left"/>
      </w:pPr>
      <w:r>
        <w:rPr>
          <w:rFonts w:ascii="Calibri" w:eastAsia="Calibri" w:hAnsi="Calibri" w:cs="Calibri"/>
        </w:rPr>
        <w:tab/>
      </w:r>
      <w:r>
        <w:t xml:space="preserve">Procedure. </w:t>
      </w:r>
      <w:r>
        <w:tab/>
        <w:t xml:space="preserve"> </w:t>
      </w:r>
      <w:r>
        <w:br w:type="page"/>
      </w:r>
    </w:p>
    <w:p w:rsidR="00CA157D" w:rsidRDefault="00935285">
      <w:pPr>
        <w:spacing w:after="0" w:line="259" w:lineRule="auto"/>
        <w:ind w:left="0" w:right="0" w:firstLine="0"/>
        <w:jc w:val="left"/>
      </w:pPr>
      <w:r>
        <w:t xml:space="preserve"> </w:t>
      </w:r>
    </w:p>
    <w:p w:rsidR="00CA157D" w:rsidRDefault="00935285">
      <w:pPr>
        <w:pStyle w:val="Heading3"/>
        <w:spacing w:after="173"/>
        <w:ind w:left="-5" w:right="49"/>
      </w:pPr>
      <w:r>
        <w:t xml:space="preserve">ANNEX B – Evaluation Weightings </w:t>
      </w:r>
    </w:p>
    <w:p w:rsidR="00CA157D" w:rsidRDefault="00935285">
      <w:pPr>
        <w:spacing w:after="0" w:line="259" w:lineRule="auto"/>
        <w:ind w:left="0" w:right="0" w:firstLine="0"/>
        <w:jc w:val="left"/>
      </w:pPr>
      <w:r>
        <w:t xml:space="preserve"> </w:t>
      </w:r>
    </w:p>
    <w:p w:rsidR="00CA157D" w:rsidRDefault="00935285">
      <w:pPr>
        <w:spacing w:after="11"/>
        <w:ind w:left="-5" w:right="50"/>
      </w:pPr>
      <w:r>
        <w:t xml:space="preserve">See separate document - Attachment 18a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p w:rsidR="00CA157D" w:rsidRDefault="00935285">
      <w:pPr>
        <w:spacing w:after="0" w:line="259" w:lineRule="auto"/>
        <w:ind w:left="0" w:right="0" w:firstLine="0"/>
        <w:jc w:val="left"/>
      </w:pPr>
      <w:r>
        <w:t xml:space="preserve"> </w:t>
      </w:r>
    </w:p>
    <w:sectPr w:rsidR="00CA157D">
      <w:footerReference w:type="even" r:id="rId7"/>
      <w:footerReference w:type="default" r:id="rId8"/>
      <w:footerReference w:type="first" r:id="rId9"/>
      <w:pgSz w:w="11906" w:h="16838"/>
      <w:pgMar w:top="923" w:right="1377" w:bottom="1984" w:left="1440"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C6" w:rsidRDefault="00AF51C6">
      <w:pPr>
        <w:spacing w:after="0" w:line="240" w:lineRule="auto"/>
      </w:pPr>
      <w:r>
        <w:separator/>
      </w:r>
    </w:p>
  </w:endnote>
  <w:endnote w:type="continuationSeparator" w:id="0">
    <w:p w:rsidR="00AF51C6" w:rsidRDefault="00AF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935285">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9454590</wp:posOffset>
              </wp:positionV>
              <wp:extent cx="5769229" cy="9144"/>
              <wp:effectExtent l="0" t="0" r="0" b="0"/>
              <wp:wrapSquare wrapText="bothSides"/>
              <wp:docPr id="50916" name="Group 5091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2649" name="Shape 5264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7FD41C" id="Group 50916" o:spid="_x0000_s1026" style="position:absolute;margin-left:70.6pt;margin-top:744.45pt;width:454.25pt;height:.7pt;z-index:251658240;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">
              <v:shape id="Shape 5264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9N8cA&#10;AADeAAAADwAAAGRycy9kb3ducmV2LnhtbESPT2vCQBTE70K/w/IKXkQ3hvovukpRKx56aKN4fmRf&#10;k2D2bcxuNX77riD0OMzMb5jFqjWVuFLjSssKhoMIBHFmdcm5guPhoz8F4TyyxsoyKbiTg9XypbPA&#10;RNsbf9M19bkIEHYJKii8rxMpXVaQQTewNXHwfmxj0AfZ5FI3eAtwU8k4isbSYMlhocCa1gVl5/TX&#10;KNhSb3eKv850OE78cHOJ6P65JaW6r+37HISn1v+Hn+29VjCKx28zeNw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zvTfHAAAA3gAAAA8AAAAAAAAAAAAAAAAAmAIAAGRy&#10;cy9kb3ducmV2LnhtbFBLBQYAAAAABAAEAPUAAACMAwAAAAA=&#10;" path="m,l5769229,r,9144l,9144,,e" fillcolor="black" stroked="f" strokeweight="0">
                <v:stroke miterlimit="83231f" joinstyle="miter"/>
                <v:path arrowok="t" textboxrect="0,0,5769229,9144"/>
              </v:shape>
              <w10:wrap type="square" anchorx="page" anchory="page"/>
            </v:group>
          </w:pict>
        </mc:Fallback>
      </mc:AlternateContent>
    </w:r>
    <w:r>
      <w:rPr>
        <w:sz w:val="16"/>
      </w:rPr>
      <w:t xml:space="preserve">Attachment 18 - Price Model and Price Evaluation Guidance </w:t>
    </w:r>
  </w:p>
  <w:p w:rsidR="00CA157D" w:rsidRDefault="00935285">
    <w:pPr>
      <w:spacing w:after="0" w:line="240" w:lineRule="auto"/>
      <w:ind w:left="0" w:right="4052" w:firstLine="0"/>
      <w:jc w:val="left"/>
    </w:pPr>
    <w:r>
      <w:rPr>
        <w:sz w:val="16"/>
      </w:rPr>
      <w:t xml:space="preserve">RM3741- Project Management and Full Design Team Services Version 2 </w:t>
    </w:r>
  </w:p>
  <w:p w:rsidR="00CA157D" w:rsidRDefault="00935285">
    <w:pPr>
      <w:spacing w:after="17" w:line="259" w:lineRule="auto"/>
      <w:ind w:left="0" w:right="61"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rsidR="00CA157D" w:rsidRDefault="00935285">
    <w:pPr>
      <w:spacing w:after="6" w:line="259" w:lineRule="auto"/>
      <w:ind w:left="0" w:right="0" w:firstLine="0"/>
      <w:jc w:val="left"/>
    </w:pPr>
    <w:r>
      <w:rPr>
        <w:color w:val="222222"/>
        <w:sz w:val="19"/>
      </w:rPr>
      <w:t>© Crown copyright 2016</w:t>
    </w:r>
    <w:r>
      <w:rPr>
        <w:rFonts w:ascii="Calibri" w:eastAsia="Calibri" w:hAnsi="Calibri" w:cs="Calibri"/>
        <w:color w:val="222222"/>
        <w:sz w:val="19"/>
      </w:rPr>
      <w:t xml:space="preserve"> </w:t>
    </w:r>
  </w:p>
  <w:p w:rsidR="00CA157D" w:rsidRDefault="00935285">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935285">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9454590</wp:posOffset>
              </wp:positionV>
              <wp:extent cx="5769229" cy="9144"/>
              <wp:effectExtent l="0" t="0" r="0" b="0"/>
              <wp:wrapSquare wrapText="bothSides"/>
              <wp:docPr id="50881" name="Group 50881"/>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2648" name="Shape 526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63F280" id="Group 50881" o:spid="_x0000_s1026" style="position:absolute;margin-left:70.6pt;margin-top:744.45pt;width:454.25pt;height:.7pt;z-index:251659264;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">
              <v:shape id="Shape 52648"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8YrMUA&#10;AADeAAAADwAAAGRycy9kb3ducmV2LnhtbERPu2rDMBTdA/kHcQNZSiPbpG5xo4TSOqVDhrzofLFu&#10;bRPryrUU2/n7aihkPJz3ajOaRvTUudqygngRgSAurK65VHA+bR9fQDiPrLGxTApu5GCznk5WmGk7&#10;8IH6oy9FCGGXoYLK+zaT0hUVGXQL2xIH7sd2Bn2AXSl1h0MIN41MoiiVBmsODRW29F5RcTlejYKc&#10;Hj6/k/2FTudnH3/8RnTb5aTUfDa+vYLwNPq7+N/9pRU8Jeky7A1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xisxQAAAN4AAAAPAAAAAAAAAAAAAAAAAJgCAABkcnMv&#10;ZG93bnJldi54bWxQSwUGAAAAAAQABAD1AAAAigMAAAAA&#10;" path="m,l5769229,r,9144l,9144,,e" fillcolor="black" stroked="f" strokeweight="0">
                <v:stroke miterlimit="83231f" joinstyle="miter"/>
                <v:path arrowok="t" textboxrect="0,0,5769229,9144"/>
              </v:shape>
              <w10:wrap type="square" anchorx="page" anchory="page"/>
            </v:group>
          </w:pict>
        </mc:Fallback>
      </mc:AlternateContent>
    </w:r>
    <w:r>
      <w:rPr>
        <w:sz w:val="16"/>
      </w:rPr>
      <w:t xml:space="preserve">Attachment 18 - Price Model and Price Evaluation Guidance </w:t>
    </w:r>
  </w:p>
  <w:p w:rsidR="00CA157D" w:rsidRDefault="00935285">
    <w:pPr>
      <w:spacing w:after="0" w:line="240" w:lineRule="auto"/>
      <w:ind w:left="0" w:right="4052" w:firstLine="0"/>
      <w:jc w:val="left"/>
    </w:pPr>
    <w:r>
      <w:rPr>
        <w:sz w:val="16"/>
      </w:rPr>
      <w:t xml:space="preserve">RM3741- Project Management and Full Design Team Services Version 2 </w:t>
    </w:r>
  </w:p>
  <w:p w:rsidR="00CA157D" w:rsidRDefault="00935285">
    <w:pPr>
      <w:spacing w:after="17" w:line="259" w:lineRule="auto"/>
      <w:ind w:left="0" w:right="61" w:firstLine="0"/>
      <w:jc w:val="center"/>
    </w:pPr>
    <w:r>
      <w:fldChar w:fldCharType="begin"/>
    </w:r>
    <w:r>
      <w:instrText xml:space="preserve"> PAGE   \* MERGEFORMAT </w:instrText>
    </w:r>
    <w:r>
      <w:fldChar w:fldCharType="separate"/>
    </w:r>
    <w:r w:rsidR="00B63007" w:rsidRPr="00B63007">
      <w:rPr>
        <w:noProof/>
        <w:sz w:val="16"/>
      </w:rPr>
      <w:t>1</w:t>
    </w:r>
    <w:r>
      <w:rPr>
        <w:sz w:val="16"/>
      </w:rPr>
      <w:fldChar w:fldCharType="end"/>
    </w:r>
    <w:r>
      <w:rPr>
        <w:sz w:val="16"/>
      </w:rPr>
      <w:t xml:space="preserve"> </w:t>
    </w:r>
  </w:p>
  <w:p w:rsidR="00CA157D" w:rsidRDefault="00935285">
    <w:pPr>
      <w:spacing w:after="6" w:line="259" w:lineRule="auto"/>
      <w:ind w:left="0" w:right="0" w:firstLine="0"/>
      <w:jc w:val="left"/>
    </w:pPr>
    <w:r>
      <w:rPr>
        <w:color w:val="222222"/>
        <w:sz w:val="19"/>
      </w:rPr>
      <w:t>© Crown copyright 2016</w:t>
    </w:r>
    <w:r>
      <w:rPr>
        <w:rFonts w:ascii="Calibri" w:eastAsia="Calibri" w:hAnsi="Calibri" w:cs="Calibri"/>
        <w:color w:val="222222"/>
        <w:sz w:val="19"/>
      </w:rPr>
      <w:t xml:space="preserve"> </w:t>
    </w:r>
  </w:p>
  <w:p w:rsidR="00CA157D" w:rsidRDefault="00935285">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7D" w:rsidRDefault="00935285">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9454590</wp:posOffset>
              </wp:positionV>
              <wp:extent cx="5769229" cy="9144"/>
              <wp:effectExtent l="0" t="0" r="0" b="0"/>
              <wp:wrapSquare wrapText="bothSides"/>
              <wp:docPr id="50846" name="Group 5084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2647" name="Shape 5264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2C5B07" id="Group 50846" o:spid="_x0000_s1026" style="position:absolute;margin-left:70.6pt;margin-top:744.45pt;width:454.25pt;height:.7pt;z-index:251660288;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">
              <v:shape id="Shape 5264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3sgA&#10;AADeAAAADwAAAGRycy9kb3ducmV2LnhtbESPT2vCQBTE74V+h+UVeil1k1D/kLoJ0lrx4KFV8fzI&#10;viYh2bcxu9X47V1B6HGYmd8w83wwrThR72rLCuJRBIK4sLrmUsF+9/U6A+E8ssbWMim4kIM8e3yY&#10;Y6rtmX/otPWlCBB2KSqovO9SKV1RkUE3sh1x8H5tb9AH2ZdS93gOcNPKJIom0mDNYaHCjj4qKprt&#10;n1GwpJfVIfluaLef+vjzGNFlsySlnp+GxTsIT4P/D9/ba61gnEzepnC7E6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4IzeyAAAAN4AAAAPAAAAAAAAAAAAAAAAAJgCAABk&#10;cnMvZG93bnJldi54bWxQSwUGAAAAAAQABAD1AAAAjQMAAAAA&#10;" path="m,l5769229,r,9144l,9144,,e" fillcolor="black" stroked="f" strokeweight="0">
                <v:stroke miterlimit="83231f" joinstyle="miter"/>
                <v:path arrowok="t" textboxrect="0,0,5769229,9144"/>
              </v:shape>
              <w10:wrap type="square" anchorx="page" anchory="page"/>
            </v:group>
          </w:pict>
        </mc:Fallback>
      </mc:AlternateContent>
    </w:r>
    <w:r>
      <w:rPr>
        <w:sz w:val="16"/>
      </w:rPr>
      <w:t xml:space="preserve">Attachment 18 - Price Model and Price Evaluation Guidance </w:t>
    </w:r>
  </w:p>
  <w:p w:rsidR="00CA157D" w:rsidRDefault="00935285">
    <w:pPr>
      <w:spacing w:after="0" w:line="240" w:lineRule="auto"/>
      <w:ind w:left="0" w:right="4052" w:firstLine="0"/>
      <w:jc w:val="left"/>
    </w:pPr>
    <w:r>
      <w:rPr>
        <w:sz w:val="16"/>
      </w:rPr>
      <w:t xml:space="preserve">RM3741- Project Management and Full Design Team Services Version 2 </w:t>
    </w:r>
  </w:p>
  <w:p w:rsidR="00CA157D" w:rsidRDefault="00935285">
    <w:pPr>
      <w:spacing w:after="17" w:line="259" w:lineRule="auto"/>
      <w:ind w:left="0" w:right="61" w:firstLine="0"/>
      <w:jc w:val="center"/>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rsidR="00CA157D" w:rsidRDefault="00935285">
    <w:pPr>
      <w:spacing w:after="6" w:line="259" w:lineRule="auto"/>
      <w:ind w:left="0" w:right="0" w:firstLine="0"/>
      <w:jc w:val="left"/>
    </w:pPr>
    <w:r>
      <w:rPr>
        <w:color w:val="222222"/>
        <w:sz w:val="19"/>
      </w:rPr>
      <w:t>© Crown copyright 2016</w:t>
    </w:r>
    <w:r>
      <w:rPr>
        <w:rFonts w:ascii="Calibri" w:eastAsia="Calibri" w:hAnsi="Calibri" w:cs="Calibri"/>
        <w:color w:val="222222"/>
        <w:sz w:val="19"/>
      </w:rPr>
      <w:t xml:space="preserve"> </w:t>
    </w:r>
  </w:p>
  <w:p w:rsidR="00CA157D" w:rsidRDefault="00935285">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C6" w:rsidRDefault="00AF51C6">
      <w:pPr>
        <w:spacing w:after="0" w:line="240" w:lineRule="auto"/>
      </w:pPr>
      <w:r>
        <w:separator/>
      </w:r>
    </w:p>
  </w:footnote>
  <w:footnote w:type="continuationSeparator" w:id="0">
    <w:p w:rsidR="00AF51C6" w:rsidRDefault="00AF5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A65"/>
    <w:multiLevelType w:val="hybridMultilevel"/>
    <w:tmpl w:val="23D0691A"/>
    <w:lvl w:ilvl="0" w:tplc="66C62BE0">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00F1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900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8800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45C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18B8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8803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E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FA2B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54407"/>
    <w:multiLevelType w:val="multilevel"/>
    <w:tmpl w:val="0BD8ACF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DC6B25"/>
    <w:multiLevelType w:val="hybridMultilevel"/>
    <w:tmpl w:val="605AE236"/>
    <w:lvl w:ilvl="0" w:tplc="BE14BC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65CC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B8239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B8860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2697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E91D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DCAD1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A488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22915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450D5D"/>
    <w:multiLevelType w:val="hybridMultilevel"/>
    <w:tmpl w:val="C4F68A68"/>
    <w:lvl w:ilvl="0" w:tplc="21924D76">
      <w:start w:val="1"/>
      <w:numFmt w:val="lowerRoman"/>
      <w:lvlText w:val="%1."/>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E4E74">
      <w:start w:val="1"/>
      <w:numFmt w:val="lowerLetter"/>
      <w:lvlText w:val="%2"/>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8C32C">
      <w:start w:val="1"/>
      <w:numFmt w:val="lowerRoman"/>
      <w:lvlText w:val="%3"/>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861B0">
      <w:start w:val="1"/>
      <w:numFmt w:val="decimal"/>
      <w:lvlText w:val="%4"/>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DE1700">
      <w:start w:val="1"/>
      <w:numFmt w:val="lowerLetter"/>
      <w:lvlText w:val="%5"/>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2EA3E">
      <w:start w:val="1"/>
      <w:numFmt w:val="lowerRoman"/>
      <w:lvlText w:val="%6"/>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5E0374">
      <w:start w:val="1"/>
      <w:numFmt w:val="decimal"/>
      <w:lvlText w:val="%7"/>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60595A">
      <w:start w:val="1"/>
      <w:numFmt w:val="lowerLetter"/>
      <w:lvlText w:val="%8"/>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CF79A">
      <w:start w:val="1"/>
      <w:numFmt w:val="lowerRoman"/>
      <w:lvlText w:val="%9"/>
      <w:lvlJc w:val="left"/>
      <w:pPr>
        <w:ind w:left="7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455B6F"/>
    <w:multiLevelType w:val="multilevel"/>
    <w:tmpl w:val="F95E5760"/>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B2693E"/>
    <w:multiLevelType w:val="hybridMultilevel"/>
    <w:tmpl w:val="7BBE937E"/>
    <w:lvl w:ilvl="0" w:tplc="E9A4D354">
      <w:start w:val="1"/>
      <w:numFmt w:val="bullet"/>
      <w:lvlText w:val="•"/>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254A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6AC88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D2A2BA">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2BBD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DE9F9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908AD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D0780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60E6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6B7F25"/>
    <w:multiLevelType w:val="hybridMultilevel"/>
    <w:tmpl w:val="F52A0C44"/>
    <w:lvl w:ilvl="0" w:tplc="ED384468">
      <w:start w:val="1"/>
      <w:numFmt w:val="bullet"/>
      <w:lvlText w:val="•"/>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B6A7B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BC01D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4107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E69B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C37F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2FD4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EA81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DCCB9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787CCA"/>
    <w:multiLevelType w:val="hybridMultilevel"/>
    <w:tmpl w:val="69F2D982"/>
    <w:lvl w:ilvl="0" w:tplc="07F21210">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C3D40">
      <w:start w:val="1"/>
      <w:numFmt w:val="bullet"/>
      <w:lvlText w:val="o"/>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6043A2">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F416C8">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C6BA0">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2C7800">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60AF6">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5676D2">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6CBFA8">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A725D1"/>
    <w:multiLevelType w:val="hybridMultilevel"/>
    <w:tmpl w:val="F66C2F06"/>
    <w:lvl w:ilvl="0" w:tplc="83003F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E7CB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A604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CF6B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23B4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4EA5F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248FC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D96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C5DC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EA1B3D"/>
    <w:multiLevelType w:val="multilevel"/>
    <w:tmpl w:val="3A982B24"/>
    <w:lvl w:ilvl="0">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0C2338"/>
    <w:multiLevelType w:val="hybridMultilevel"/>
    <w:tmpl w:val="AD9E3AAE"/>
    <w:lvl w:ilvl="0" w:tplc="922E5A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6225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45CC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6E7568">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327CE2">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0EE7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6B1E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8D2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09C1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AC2FA9"/>
    <w:multiLevelType w:val="hybridMultilevel"/>
    <w:tmpl w:val="49C8FB62"/>
    <w:lvl w:ilvl="0" w:tplc="A9EAFF0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2759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90E0F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22CF9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E38FC">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A81F5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401C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0E99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81A7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EF4065"/>
    <w:multiLevelType w:val="hybridMultilevel"/>
    <w:tmpl w:val="3C0CF748"/>
    <w:lvl w:ilvl="0" w:tplc="5068236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AFC24">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24B86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D41F6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F083C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2A64C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648A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E110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92D264">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047174"/>
    <w:multiLevelType w:val="hybridMultilevel"/>
    <w:tmpl w:val="5A4686F0"/>
    <w:lvl w:ilvl="0" w:tplc="30407E38">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2727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80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D0EEF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661C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4218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C6119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809B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F0BA9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BA4BFC"/>
    <w:multiLevelType w:val="hybridMultilevel"/>
    <w:tmpl w:val="AF84C7DE"/>
    <w:lvl w:ilvl="0" w:tplc="0B9A6C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8602A">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23FA4">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C8A016">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44A98">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EA82F8">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22F63C">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82CCC6">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62682">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85396F"/>
    <w:multiLevelType w:val="hybridMultilevel"/>
    <w:tmpl w:val="2BBA069A"/>
    <w:lvl w:ilvl="0" w:tplc="A640764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4ECC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C54A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64271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3A5BF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043C6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2BB9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CE74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FAB3A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2541FA"/>
    <w:multiLevelType w:val="hybridMultilevel"/>
    <w:tmpl w:val="972049C0"/>
    <w:lvl w:ilvl="0" w:tplc="CB9E18BE">
      <w:start w:val="1"/>
      <w:numFmt w:val="bullet"/>
      <w:lvlText w:val="•"/>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2B8A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893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F87F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E32E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1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A2A2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CD73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2E5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2D2424A"/>
    <w:multiLevelType w:val="hybridMultilevel"/>
    <w:tmpl w:val="8A404A5E"/>
    <w:lvl w:ilvl="0" w:tplc="4AC251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44004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50FC2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06AD9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09E2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EABE3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182548">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507B7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8096C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7101F1"/>
    <w:multiLevelType w:val="multilevel"/>
    <w:tmpl w:val="2E5E2E62"/>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18"/>
  </w:num>
  <w:num w:numId="4">
    <w:abstractNumId w:val="16"/>
  </w:num>
  <w:num w:numId="5">
    <w:abstractNumId w:val="4"/>
  </w:num>
  <w:num w:numId="6">
    <w:abstractNumId w:val="3"/>
  </w:num>
  <w:num w:numId="7">
    <w:abstractNumId w:val="9"/>
  </w:num>
  <w:num w:numId="8">
    <w:abstractNumId w:val="7"/>
  </w:num>
  <w:num w:numId="9">
    <w:abstractNumId w:val="1"/>
  </w:num>
  <w:num w:numId="10">
    <w:abstractNumId w:val="2"/>
  </w:num>
  <w:num w:numId="11">
    <w:abstractNumId w:val="5"/>
  </w:num>
  <w:num w:numId="12">
    <w:abstractNumId w:val="10"/>
  </w:num>
  <w:num w:numId="13">
    <w:abstractNumId w:val="6"/>
  </w:num>
  <w:num w:numId="14">
    <w:abstractNumId w:val="8"/>
  </w:num>
  <w:num w:numId="15">
    <w:abstractNumId w:val="14"/>
  </w:num>
  <w:num w:numId="16">
    <w:abstractNumId w:val="15"/>
  </w:num>
  <w:num w:numId="17">
    <w:abstractNumId w:val="1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7D"/>
    <w:rsid w:val="00935285"/>
    <w:rsid w:val="00A56ED0"/>
    <w:rsid w:val="00AF51C6"/>
    <w:rsid w:val="00B63007"/>
    <w:rsid w:val="00CA157D"/>
    <w:rsid w:val="00D1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7579E-C07C-44D0-88A6-3E76B9F1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48" w:lineRule="auto"/>
      <w:ind w:left="718" w:right="417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8"/>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15" w:line="249" w:lineRule="auto"/>
      <w:ind w:left="1760"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15" w:line="249" w:lineRule="auto"/>
      <w:ind w:left="1760" w:hanging="10"/>
      <w:jc w:val="both"/>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6954</Words>
  <Characters>39642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Moore</dc:creator>
  <cp:keywords/>
  <cp:lastModifiedBy>Kathryn Hignett-Jones</cp:lastModifiedBy>
  <cp:revision>2</cp:revision>
  <dcterms:created xsi:type="dcterms:W3CDTF">2018-12-18T18:20:00Z</dcterms:created>
  <dcterms:modified xsi:type="dcterms:W3CDTF">2018-12-18T18:20:00Z</dcterms:modified>
</cp:coreProperties>
</file>