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9E390" w14:textId="77777777" w:rsidR="00101CE3" w:rsidRPr="001977EE" w:rsidRDefault="00101CE3" w:rsidP="004212FE"/>
    <w:p w14:paraId="62FBBF89" w14:textId="77777777" w:rsidR="00101CE3" w:rsidRPr="001977EE" w:rsidRDefault="00101CE3" w:rsidP="00101CE3">
      <w:pPr>
        <w:spacing w:after="160" w:line="259" w:lineRule="auto"/>
        <w:rPr>
          <w:rFonts w:ascii="Arial" w:eastAsiaTheme="minorHAnsi" w:hAnsi="Arial" w:cs="Arial"/>
          <w:lang w:eastAsia="en-US"/>
        </w:rPr>
      </w:pPr>
      <w:r w:rsidRPr="001977EE">
        <w:rPr>
          <w:rFonts w:eastAsiaTheme="minorHAnsi"/>
          <w:noProof/>
        </w:rPr>
        <w:drawing>
          <wp:inline distT="0" distB="0" distL="0" distR="0" wp14:anchorId="0CD48D33" wp14:editId="51399E7D">
            <wp:extent cx="1419225" cy="1141757"/>
            <wp:effectExtent l="0" t="0" r="0" b="1270"/>
            <wp:docPr id="1"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stretch>
                      <a:fillRect/>
                    </a:stretch>
                  </pic:blipFill>
                  <pic:spPr bwMode="auto">
                    <a:xfrm>
                      <a:off x="0" y="0"/>
                      <a:ext cx="1424009" cy="1145606"/>
                    </a:xfrm>
                    <a:prstGeom prst="rect">
                      <a:avLst/>
                    </a:prstGeom>
                    <a:noFill/>
                    <a:ln w="9525">
                      <a:noFill/>
                      <a:miter lim="800000"/>
                      <a:headEnd/>
                      <a:tailEnd/>
                    </a:ln>
                  </pic:spPr>
                </pic:pic>
              </a:graphicData>
            </a:graphic>
          </wp:inline>
        </w:drawing>
      </w:r>
      <w:bookmarkStart w:id="0" w:name="_GoBack"/>
      <w:bookmarkEnd w:id="0"/>
    </w:p>
    <w:p w14:paraId="2F396AC0" w14:textId="77777777" w:rsidR="00101CE3" w:rsidRPr="001977EE" w:rsidRDefault="00101CE3" w:rsidP="00101CE3">
      <w:pPr>
        <w:spacing w:after="160" w:line="259" w:lineRule="auto"/>
        <w:rPr>
          <w:rFonts w:ascii="Arial" w:eastAsiaTheme="minorHAnsi" w:hAnsi="Arial" w:cs="Arial"/>
          <w:lang w:eastAsia="en-US"/>
        </w:rPr>
      </w:pPr>
    </w:p>
    <w:p w14:paraId="48C11261" w14:textId="77777777" w:rsidR="00101CE3" w:rsidRPr="001977EE" w:rsidRDefault="00101CE3" w:rsidP="00101CE3">
      <w:pPr>
        <w:spacing w:after="160" w:line="259" w:lineRule="auto"/>
        <w:rPr>
          <w:rFonts w:ascii="Arial" w:eastAsiaTheme="minorHAnsi" w:hAnsi="Arial" w:cs="Arial"/>
          <w:lang w:eastAsia="en-US"/>
        </w:rPr>
      </w:pPr>
    </w:p>
    <w:p w14:paraId="31EAE9C8" w14:textId="77777777" w:rsidR="00101CE3" w:rsidRPr="001977EE" w:rsidRDefault="00101CE3" w:rsidP="00101CE3">
      <w:pPr>
        <w:spacing w:after="160" w:line="259" w:lineRule="auto"/>
        <w:rPr>
          <w:rFonts w:ascii="Arial" w:eastAsiaTheme="minorHAnsi" w:hAnsi="Arial" w:cs="Arial"/>
          <w:lang w:eastAsia="en-US"/>
        </w:rPr>
      </w:pPr>
    </w:p>
    <w:p w14:paraId="1C176FA1" w14:textId="77777777" w:rsidR="00101CE3" w:rsidRPr="001977EE" w:rsidRDefault="00101CE3" w:rsidP="00101CE3">
      <w:pPr>
        <w:spacing w:after="160" w:line="259" w:lineRule="auto"/>
        <w:rPr>
          <w:rFonts w:ascii="Arial" w:eastAsiaTheme="minorHAnsi" w:hAnsi="Arial" w:cs="Arial"/>
          <w:lang w:eastAsia="en-US"/>
        </w:rPr>
      </w:pPr>
    </w:p>
    <w:p w14:paraId="4A224263" w14:textId="77777777" w:rsidR="00101CE3" w:rsidRPr="001977EE" w:rsidRDefault="00101CE3" w:rsidP="00101CE3">
      <w:pPr>
        <w:spacing w:after="160" w:line="259" w:lineRule="auto"/>
        <w:rPr>
          <w:rFonts w:ascii="Arial" w:eastAsiaTheme="minorHAnsi" w:hAnsi="Arial" w:cs="Arial"/>
          <w:lang w:eastAsia="en-US"/>
        </w:rPr>
      </w:pPr>
    </w:p>
    <w:p w14:paraId="1F59B412" w14:textId="4EAF70EB" w:rsidR="00101CE3" w:rsidRPr="001977EE" w:rsidRDefault="00D07491" w:rsidP="00D07491">
      <w:pPr>
        <w:spacing w:after="160" w:line="259" w:lineRule="auto"/>
        <w:jc w:val="center"/>
        <w:rPr>
          <w:rFonts w:ascii="Arial" w:eastAsiaTheme="minorHAnsi" w:hAnsi="Arial" w:cs="Arial"/>
          <w:b/>
          <w:lang w:eastAsia="en-US"/>
        </w:rPr>
      </w:pPr>
      <w:r w:rsidRPr="001977EE">
        <w:rPr>
          <w:rFonts w:ascii="Arial" w:eastAsiaTheme="minorHAnsi" w:hAnsi="Arial" w:cs="Arial"/>
          <w:b/>
          <w:lang w:eastAsia="en-US"/>
        </w:rPr>
        <w:t>PANEL AGREEMENT SCHEDULE 2 PART A: PANEL SERVICES</w:t>
      </w:r>
    </w:p>
    <w:p w14:paraId="4F5DE3CA" w14:textId="77777777" w:rsidR="00101CE3" w:rsidRPr="001977EE" w:rsidRDefault="00101CE3" w:rsidP="00101CE3">
      <w:pPr>
        <w:adjustRightInd w:val="0"/>
        <w:spacing w:before="60" w:after="60" w:line="240" w:lineRule="auto"/>
        <w:jc w:val="center"/>
        <w:rPr>
          <w:rFonts w:ascii="Arial" w:eastAsia="STZhongsong" w:hAnsi="Arial" w:cs="Arial"/>
          <w:b/>
          <w:lang w:eastAsia="zh-CN"/>
        </w:rPr>
      </w:pPr>
    </w:p>
    <w:p w14:paraId="5FF8A0A3" w14:textId="77777777" w:rsidR="00101CE3" w:rsidRPr="001977EE" w:rsidRDefault="00101CE3" w:rsidP="00101CE3">
      <w:pPr>
        <w:adjustRightInd w:val="0"/>
        <w:spacing w:before="60" w:after="60" w:line="240" w:lineRule="auto"/>
        <w:jc w:val="center"/>
        <w:rPr>
          <w:rFonts w:ascii="Arial" w:eastAsia="STZhongsong" w:hAnsi="Arial" w:cs="Arial"/>
          <w:b/>
          <w:lang w:eastAsia="zh-CN"/>
        </w:rPr>
      </w:pPr>
    </w:p>
    <w:p w14:paraId="60376867" w14:textId="77777777" w:rsidR="00101CE3" w:rsidRPr="001977EE" w:rsidRDefault="00101CE3" w:rsidP="00101CE3">
      <w:pPr>
        <w:adjustRightInd w:val="0"/>
        <w:spacing w:before="60" w:after="60" w:line="240" w:lineRule="auto"/>
        <w:jc w:val="center"/>
        <w:rPr>
          <w:rFonts w:ascii="Arial" w:eastAsia="STZhongsong" w:hAnsi="Arial" w:cs="Arial"/>
          <w:b/>
          <w:lang w:eastAsia="zh-CN"/>
        </w:rPr>
      </w:pPr>
      <w:r w:rsidRPr="001977EE">
        <w:rPr>
          <w:rFonts w:ascii="Arial" w:eastAsia="STZhongsong" w:hAnsi="Arial" w:cs="Arial"/>
          <w:b/>
          <w:lang w:eastAsia="zh-CN"/>
        </w:rPr>
        <w:t>GENERAL LEGAL SERVICES</w:t>
      </w:r>
      <w:r w:rsidRPr="001977EE">
        <w:rPr>
          <w:rFonts w:ascii="Arial" w:eastAsia="STZhongsong" w:hAnsi="Arial" w:cs="Arial"/>
          <w:b/>
          <w:lang w:eastAsia="zh-CN"/>
        </w:rPr>
        <w:br/>
      </w:r>
    </w:p>
    <w:p w14:paraId="48AD136E" w14:textId="77777777" w:rsidR="00101CE3" w:rsidRPr="001977EE" w:rsidRDefault="00101CE3" w:rsidP="00101CE3">
      <w:pPr>
        <w:adjustRightInd w:val="0"/>
        <w:spacing w:before="60" w:after="60" w:line="240" w:lineRule="auto"/>
        <w:jc w:val="center"/>
        <w:rPr>
          <w:rFonts w:ascii="Arial" w:eastAsia="STZhongsong" w:hAnsi="Arial" w:cs="Arial"/>
          <w:b/>
          <w:lang w:eastAsia="zh-CN"/>
        </w:rPr>
      </w:pPr>
    </w:p>
    <w:p w14:paraId="32CF3EE6" w14:textId="77777777" w:rsidR="00101CE3" w:rsidRPr="001977EE" w:rsidRDefault="00101CE3" w:rsidP="00101CE3">
      <w:pPr>
        <w:adjustRightInd w:val="0"/>
        <w:spacing w:before="60" w:after="60" w:line="240" w:lineRule="auto"/>
        <w:jc w:val="center"/>
        <w:rPr>
          <w:rFonts w:ascii="Arial" w:eastAsia="STZhongsong" w:hAnsi="Arial" w:cs="Arial"/>
          <w:b/>
          <w:lang w:eastAsia="zh-CN"/>
        </w:rPr>
      </w:pPr>
    </w:p>
    <w:p w14:paraId="53ACD286" w14:textId="77777777" w:rsidR="00101CE3" w:rsidRPr="001977EE" w:rsidRDefault="00101CE3" w:rsidP="00101CE3">
      <w:pPr>
        <w:adjustRightInd w:val="0"/>
        <w:spacing w:before="60" w:after="60" w:line="240" w:lineRule="auto"/>
        <w:jc w:val="center"/>
        <w:rPr>
          <w:rFonts w:ascii="Arial" w:eastAsia="STZhongsong" w:hAnsi="Arial" w:cs="Arial"/>
          <w:b/>
          <w:lang w:eastAsia="zh-CN"/>
        </w:rPr>
      </w:pPr>
      <w:r w:rsidRPr="001977EE">
        <w:rPr>
          <w:rFonts w:ascii="Arial" w:eastAsia="STZhongsong" w:hAnsi="Arial" w:cs="Arial"/>
          <w:b/>
          <w:lang w:eastAsia="zh-CN"/>
        </w:rPr>
        <w:t>REFERENCE NUMBER</w:t>
      </w:r>
    </w:p>
    <w:p w14:paraId="281537C5" w14:textId="77777777" w:rsidR="00101CE3" w:rsidRPr="001977EE" w:rsidRDefault="00101CE3" w:rsidP="00101CE3">
      <w:pPr>
        <w:adjustRightInd w:val="0"/>
        <w:spacing w:before="60" w:after="60" w:line="240" w:lineRule="auto"/>
        <w:jc w:val="center"/>
        <w:rPr>
          <w:rFonts w:ascii="Arial" w:eastAsia="STZhongsong" w:hAnsi="Arial" w:cs="Arial"/>
          <w:b/>
          <w:lang w:eastAsia="zh-CN"/>
        </w:rPr>
      </w:pPr>
    </w:p>
    <w:p w14:paraId="51095948" w14:textId="77777777" w:rsidR="00101CE3" w:rsidRPr="001977EE" w:rsidRDefault="00101CE3" w:rsidP="00101CE3">
      <w:pPr>
        <w:adjustRightInd w:val="0"/>
        <w:spacing w:before="60" w:after="60" w:line="240" w:lineRule="auto"/>
        <w:jc w:val="center"/>
        <w:rPr>
          <w:rFonts w:ascii="Arial" w:eastAsia="STZhongsong" w:hAnsi="Arial" w:cs="Arial"/>
          <w:b/>
          <w:lang w:eastAsia="zh-CN"/>
        </w:rPr>
      </w:pPr>
      <w:r w:rsidRPr="001977EE">
        <w:rPr>
          <w:rFonts w:ascii="Arial" w:eastAsia="STZhongsong" w:hAnsi="Arial" w:cs="Arial"/>
          <w:b/>
          <w:lang w:eastAsia="zh-CN"/>
        </w:rPr>
        <w:t>RM 3786</w:t>
      </w:r>
    </w:p>
    <w:p w14:paraId="02DA1522" w14:textId="77777777" w:rsidR="00D07491" w:rsidRPr="001977EE" w:rsidRDefault="00D07491" w:rsidP="00101CE3">
      <w:pPr>
        <w:adjustRightInd w:val="0"/>
        <w:spacing w:before="60" w:after="60" w:line="240" w:lineRule="auto"/>
        <w:jc w:val="center"/>
        <w:rPr>
          <w:rFonts w:ascii="Arial" w:eastAsia="STZhongsong" w:hAnsi="Arial" w:cs="Arial"/>
          <w:b/>
          <w:lang w:eastAsia="zh-CN"/>
        </w:rPr>
      </w:pPr>
    </w:p>
    <w:p w14:paraId="77E5C276" w14:textId="77777777" w:rsidR="00D07491" w:rsidRPr="001977EE" w:rsidRDefault="00D07491" w:rsidP="00101CE3">
      <w:pPr>
        <w:adjustRightInd w:val="0"/>
        <w:spacing w:before="60" w:after="60" w:line="240" w:lineRule="auto"/>
        <w:jc w:val="center"/>
        <w:rPr>
          <w:rFonts w:ascii="Arial" w:eastAsia="STZhongsong" w:hAnsi="Arial" w:cs="Arial"/>
          <w:b/>
          <w:lang w:eastAsia="zh-CN"/>
        </w:rPr>
      </w:pPr>
    </w:p>
    <w:p w14:paraId="2BF4C1AC" w14:textId="0769080B" w:rsidR="00D07491" w:rsidRPr="001977EE" w:rsidRDefault="00D07491" w:rsidP="00101CE3">
      <w:pPr>
        <w:adjustRightInd w:val="0"/>
        <w:spacing w:before="60" w:after="60" w:line="240" w:lineRule="auto"/>
        <w:jc w:val="center"/>
        <w:rPr>
          <w:rFonts w:ascii="Arial" w:eastAsia="STZhongsong" w:hAnsi="Arial" w:cs="Arial"/>
          <w:b/>
          <w:lang w:eastAsia="zh-CN"/>
        </w:rPr>
      </w:pPr>
      <w:r w:rsidRPr="001977EE">
        <w:rPr>
          <w:rFonts w:ascii="Arial" w:eastAsia="STZhongsong" w:hAnsi="Arial" w:cs="Arial"/>
          <w:b/>
          <w:lang w:eastAsia="zh-CN"/>
        </w:rPr>
        <w:t>ATTACHMENT 7a</w:t>
      </w:r>
    </w:p>
    <w:p w14:paraId="6EB2FB64" w14:textId="77777777" w:rsidR="00101CE3" w:rsidRPr="001977EE" w:rsidRDefault="00101CE3" w:rsidP="00101CE3">
      <w:pPr>
        <w:adjustRightInd w:val="0"/>
        <w:spacing w:before="60" w:after="60" w:line="240" w:lineRule="auto"/>
        <w:jc w:val="center"/>
        <w:rPr>
          <w:rFonts w:ascii="Arial" w:eastAsia="STZhongsong" w:hAnsi="Arial" w:cs="Arial"/>
          <w:b/>
          <w:lang w:eastAsia="zh-CN"/>
        </w:rPr>
      </w:pPr>
    </w:p>
    <w:p w14:paraId="63631C2B" w14:textId="77777777" w:rsidR="00101CE3" w:rsidRPr="001977EE" w:rsidRDefault="00101CE3" w:rsidP="00101CE3">
      <w:pPr>
        <w:adjustRightInd w:val="0"/>
        <w:spacing w:before="60" w:after="60" w:line="240" w:lineRule="auto"/>
        <w:jc w:val="center"/>
        <w:rPr>
          <w:rFonts w:ascii="Arial" w:eastAsia="STZhongsong" w:hAnsi="Arial" w:cs="Arial"/>
          <w:b/>
          <w:lang w:eastAsia="zh-CN"/>
        </w:rPr>
      </w:pPr>
    </w:p>
    <w:p w14:paraId="6C3C8CBD" w14:textId="77777777" w:rsidR="00101CE3" w:rsidRPr="001977EE" w:rsidRDefault="00101CE3" w:rsidP="00101CE3">
      <w:pPr>
        <w:adjustRightInd w:val="0"/>
        <w:spacing w:before="60" w:after="60" w:line="240" w:lineRule="auto"/>
        <w:jc w:val="center"/>
        <w:rPr>
          <w:rFonts w:ascii="Arial" w:eastAsia="STZhongsong" w:hAnsi="Arial" w:cs="Arial"/>
          <w:b/>
          <w:lang w:eastAsia="zh-CN"/>
        </w:rPr>
      </w:pPr>
    </w:p>
    <w:p w14:paraId="5BD63721" w14:textId="78D95AEC" w:rsidR="00405355" w:rsidRPr="001977EE" w:rsidRDefault="00101CE3" w:rsidP="00B54860">
      <w:pPr>
        <w:pStyle w:val="BodyText2"/>
      </w:pPr>
      <w:r w:rsidRPr="001977EE">
        <w:rPr>
          <w:rFonts w:eastAsiaTheme="minorHAnsi"/>
          <w:lang w:eastAsia="en-US"/>
        </w:rPr>
        <w:br w:type="page"/>
      </w:r>
      <w:r w:rsidR="003554A9" w:rsidRPr="001977EE">
        <w:lastRenderedPageBreak/>
        <w:t>PANEL</w:t>
      </w:r>
      <w:r w:rsidR="004B7CD1" w:rsidRPr="001977EE">
        <w:t xml:space="preserve"> </w:t>
      </w:r>
      <w:r w:rsidR="00C10D7C" w:rsidRPr="001977EE">
        <w:t>AGREEMENT</w:t>
      </w:r>
      <w:r w:rsidR="00675A76" w:rsidRPr="001977EE">
        <w:t xml:space="preserve"> </w:t>
      </w:r>
      <w:r w:rsidR="00405355" w:rsidRPr="001977EE">
        <w:t>SCHEDULE 2</w:t>
      </w:r>
      <w:r w:rsidR="00EA64A8" w:rsidRPr="001977EE">
        <w:t xml:space="preserve"> </w:t>
      </w:r>
      <w:r w:rsidR="004D25B0" w:rsidRPr="001977EE">
        <w:t>(</w:t>
      </w:r>
      <w:r w:rsidR="006D0A24" w:rsidRPr="001977EE">
        <w:t xml:space="preserve">PANEL </w:t>
      </w:r>
      <w:r w:rsidR="00405355" w:rsidRPr="001977EE">
        <w:t>SERVICES AND KEY PERFORMANCE INDICATORS</w:t>
      </w:r>
      <w:r w:rsidR="004D25B0" w:rsidRPr="001977EE">
        <w:t>)</w:t>
      </w:r>
    </w:p>
    <w:p w14:paraId="440DC3D5" w14:textId="77777777" w:rsidR="00405355" w:rsidRPr="001977EE" w:rsidRDefault="00405355" w:rsidP="00405355">
      <w:pPr>
        <w:tabs>
          <w:tab w:val="center" w:pos="4513"/>
        </w:tabs>
        <w:spacing w:after="120" w:line="240" w:lineRule="auto"/>
        <w:jc w:val="center"/>
        <w:rPr>
          <w:rFonts w:ascii="Arial" w:eastAsia="Times New Roman" w:hAnsi="Arial" w:cs="Arial"/>
          <w:b/>
          <w:bCs/>
          <w:sz w:val="28"/>
          <w:szCs w:val="28"/>
        </w:rPr>
      </w:pPr>
      <w:r w:rsidRPr="001977EE">
        <w:rPr>
          <w:rFonts w:ascii="Arial" w:eastAsia="Times New Roman" w:hAnsi="Arial" w:cs="Arial"/>
          <w:b/>
          <w:bCs/>
          <w:sz w:val="28"/>
          <w:szCs w:val="28"/>
        </w:rPr>
        <w:t>PART A</w:t>
      </w:r>
      <w:r w:rsidR="00EA64A8" w:rsidRPr="001977EE">
        <w:rPr>
          <w:rFonts w:ascii="Arial" w:eastAsia="Times New Roman" w:hAnsi="Arial" w:cs="Arial"/>
          <w:b/>
          <w:bCs/>
          <w:sz w:val="28"/>
          <w:szCs w:val="28"/>
        </w:rPr>
        <w:t xml:space="preserve"> </w:t>
      </w:r>
      <w:r w:rsidR="004D25B0" w:rsidRPr="001977EE">
        <w:rPr>
          <w:rFonts w:ascii="Arial" w:eastAsia="Times New Roman" w:hAnsi="Arial" w:cs="Arial"/>
          <w:b/>
          <w:bCs/>
          <w:sz w:val="28"/>
          <w:szCs w:val="28"/>
        </w:rPr>
        <w:t>(</w:t>
      </w:r>
      <w:r w:rsidR="006D0A24" w:rsidRPr="001977EE">
        <w:rPr>
          <w:rFonts w:ascii="Arial" w:eastAsia="Times New Roman" w:hAnsi="Arial" w:cs="Arial"/>
          <w:b/>
          <w:bCs/>
          <w:sz w:val="28"/>
          <w:szCs w:val="28"/>
        </w:rPr>
        <w:t xml:space="preserve">PANEL </w:t>
      </w:r>
      <w:r w:rsidRPr="001977EE">
        <w:rPr>
          <w:rFonts w:ascii="Arial" w:eastAsia="Times New Roman" w:hAnsi="Arial" w:cs="Arial"/>
          <w:b/>
          <w:bCs/>
          <w:sz w:val="28"/>
          <w:szCs w:val="28"/>
        </w:rPr>
        <w:t>SERVICES</w:t>
      </w:r>
      <w:r w:rsidR="004D25B0" w:rsidRPr="001977EE">
        <w:rPr>
          <w:rFonts w:ascii="Arial" w:eastAsia="Times New Roman" w:hAnsi="Arial" w:cs="Arial"/>
          <w:b/>
          <w:bCs/>
          <w:sz w:val="28"/>
          <w:szCs w:val="28"/>
        </w:rPr>
        <w:t>)</w:t>
      </w:r>
    </w:p>
    <w:p w14:paraId="2C9C31FE" w14:textId="77777777" w:rsidR="00405355" w:rsidRPr="001977EE" w:rsidRDefault="0060659D" w:rsidP="00114DEC">
      <w:pPr>
        <w:pStyle w:val="SM1"/>
        <w:numPr>
          <w:ilvl w:val="0"/>
          <w:numId w:val="7"/>
        </w:numPr>
        <w:ind w:left="0"/>
      </w:pPr>
      <w:r w:rsidRPr="001977EE">
        <w:t xml:space="preserve">INTRODUCTION </w:t>
      </w:r>
      <w:r w:rsidR="00405355" w:rsidRPr="001977EE">
        <w:t xml:space="preserve"> </w:t>
      </w:r>
    </w:p>
    <w:p w14:paraId="7F36A5CD" w14:textId="7D234829" w:rsidR="00405355" w:rsidRPr="001977EE" w:rsidRDefault="00B54860" w:rsidP="00921989">
      <w:pPr>
        <w:pStyle w:val="SM11"/>
      </w:pPr>
      <w:r w:rsidRPr="001977EE">
        <w:t>T</w:t>
      </w:r>
      <w:r w:rsidR="006B5E75" w:rsidRPr="001977EE">
        <w:t>his</w:t>
      </w:r>
      <w:r w:rsidR="002436AF" w:rsidRPr="001977EE">
        <w:t xml:space="preserve"> </w:t>
      </w:r>
      <w:r w:rsidR="000B6348" w:rsidRPr="001977EE">
        <w:t xml:space="preserve">Panel </w:t>
      </w:r>
      <w:r w:rsidR="006B5E75" w:rsidRPr="001977EE">
        <w:t>Agreement consist</w:t>
      </w:r>
      <w:r w:rsidR="004B2164" w:rsidRPr="001977EE">
        <w:t>s</w:t>
      </w:r>
      <w:r w:rsidR="006B5E75" w:rsidRPr="001977EE">
        <w:t xml:space="preserve"> of </w:t>
      </w:r>
      <w:r w:rsidR="005D50D9" w:rsidRPr="001977EE">
        <w:t xml:space="preserve">a single </w:t>
      </w:r>
      <w:r w:rsidR="00A3019C" w:rsidRPr="001977EE">
        <w:t>P</w:t>
      </w:r>
      <w:r w:rsidR="005D50D9" w:rsidRPr="001977EE">
        <w:t>anel</w:t>
      </w:r>
      <w:r w:rsidR="000B6348" w:rsidRPr="001977EE">
        <w:t xml:space="preserve"> </w:t>
      </w:r>
      <w:r w:rsidR="003A7CDF" w:rsidRPr="001977EE">
        <w:t>a</w:t>
      </w:r>
      <w:r w:rsidR="000B6348" w:rsidRPr="001977EE">
        <w:t xml:space="preserve">cross two </w:t>
      </w:r>
      <w:r w:rsidR="00A64EF9" w:rsidRPr="001977EE">
        <w:t xml:space="preserve">Tiers </w:t>
      </w:r>
      <w:r w:rsidR="000B6348" w:rsidRPr="001977EE">
        <w:t xml:space="preserve">covering </w:t>
      </w:r>
      <w:r w:rsidR="003A7CDF" w:rsidRPr="001977EE">
        <w:t xml:space="preserve">a </w:t>
      </w:r>
      <w:r w:rsidR="00512646" w:rsidRPr="001977EE">
        <w:t>broad</w:t>
      </w:r>
      <w:r w:rsidR="003A7CDF" w:rsidRPr="001977EE">
        <w:t xml:space="preserve"> range of </w:t>
      </w:r>
      <w:r w:rsidR="00101CE3" w:rsidRPr="001977EE">
        <w:t>specialisms</w:t>
      </w:r>
      <w:r w:rsidR="006D0A24" w:rsidRPr="001977EE">
        <w:t xml:space="preserve"> and industry sectors</w:t>
      </w:r>
      <w:r w:rsidR="002436AF" w:rsidRPr="001977EE">
        <w:t>.</w:t>
      </w:r>
    </w:p>
    <w:p w14:paraId="6E83A314" w14:textId="22DAF111" w:rsidR="004B2164" w:rsidRPr="001977EE" w:rsidRDefault="006B5E75" w:rsidP="00921989">
      <w:pPr>
        <w:pStyle w:val="SM11"/>
      </w:pPr>
      <w:r w:rsidRPr="001977EE">
        <w:t xml:space="preserve">The purpose of this </w:t>
      </w:r>
      <w:r w:rsidR="00101CE3" w:rsidRPr="001977EE">
        <w:t>S</w:t>
      </w:r>
      <w:r w:rsidR="002436AF" w:rsidRPr="001977EE">
        <w:t>chedule 2</w:t>
      </w:r>
      <w:r w:rsidR="00101CE3" w:rsidRPr="001977EE">
        <w:t xml:space="preserve"> </w:t>
      </w:r>
      <w:r w:rsidR="00A3019C" w:rsidRPr="001977EE">
        <w:t>(</w:t>
      </w:r>
      <w:r w:rsidR="00101CE3" w:rsidRPr="001977EE">
        <w:t>Part A</w:t>
      </w:r>
      <w:r w:rsidR="00A3019C" w:rsidRPr="001977EE">
        <w:t xml:space="preserve">: </w:t>
      </w:r>
      <w:r w:rsidR="005A0244" w:rsidRPr="001977EE">
        <w:t xml:space="preserve">Panel </w:t>
      </w:r>
      <w:r w:rsidR="002436AF" w:rsidRPr="001977EE">
        <w:t>Services</w:t>
      </w:r>
      <w:r w:rsidR="005A0244" w:rsidRPr="001977EE">
        <w:t>)</w:t>
      </w:r>
      <w:r w:rsidR="002436AF" w:rsidRPr="001977EE">
        <w:t xml:space="preserve"> i</w:t>
      </w:r>
      <w:r w:rsidRPr="001977EE">
        <w:t>s to</w:t>
      </w:r>
      <w:r w:rsidR="004B2164" w:rsidRPr="001977EE">
        <w:t>:</w:t>
      </w:r>
    </w:p>
    <w:p w14:paraId="4B142EFA" w14:textId="445EEAEC" w:rsidR="004B2164" w:rsidRPr="001977EE" w:rsidRDefault="006B5E75" w:rsidP="00921989">
      <w:pPr>
        <w:pStyle w:val="SM111"/>
      </w:pPr>
      <w:r w:rsidRPr="001977EE">
        <w:t xml:space="preserve">set out the scope of the </w:t>
      </w:r>
      <w:r w:rsidR="001F02AC" w:rsidRPr="001977EE">
        <w:t xml:space="preserve">Panel </w:t>
      </w:r>
      <w:r w:rsidR="006D0A24" w:rsidRPr="001977EE">
        <w:t>S</w:t>
      </w:r>
      <w:r w:rsidR="005201F4" w:rsidRPr="001977EE">
        <w:t xml:space="preserve">ervices </w:t>
      </w:r>
      <w:r w:rsidRPr="001977EE">
        <w:t xml:space="preserve">that the Supplier </w:t>
      </w:r>
      <w:r w:rsidR="004B2164" w:rsidRPr="001977EE">
        <w:t>shall</w:t>
      </w:r>
      <w:r w:rsidRPr="001977EE">
        <w:t xml:space="preserve"> make available to all </w:t>
      </w:r>
      <w:r w:rsidR="00CA53D2" w:rsidRPr="001977EE">
        <w:t xml:space="preserve">Panel </w:t>
      </w:r>
      <w:r w:rsidR="00615170" w:rsidRPr="001977EE">
        <w:t>Customer</w:t>
      </w:r>
      <w:r w:rsidR="006D0A24" w:rsidRPr="001977EE">
        <w:t>s</w:t>
      </w:r>
      <w:r w:rsidRPr="001977EE">
        <w:t xml:space="preserve"> under this </w:t>
      </w:r>
      <w:r w:rsidR="003554A9" w:rsidRPr="001977EE">
        <w:t xml:space="preserve">Panel </w:t>
      </w:r>
      <w:r w:rsidRPr="001977EE">
        <w:t>Agreement</w:t>
      </w:r>
      <w:r w:rsidR="004B2164" w:rsidRPr="001977EE">
        <w:t>;</w:t>
      </w:r>
    </w:p>
    <w:p w14:paraId="605AF845" w14:textId="77777777" w:rsidR="004B2164" w:rsidRPr="001977EE" w:rsidRDefault="006B5E75" w:rsidP="00921989">
      <w:pPr>
        <w:pStyle w:val="SM111"/>
      </w:pPr>
      <w:r w:rsidRPr="001977EE">
        <w:t xml:space="preserve">provide a description of the </w:t>
      </w:r>
      <w:r w:rsidR="005201F4" w:rsidRPr="001977EE">
        <w:t xml:space="preserve">Panel </w:t>
      </w:r>
      <w:r w:rsidRPr="001977EE">
        <w:t>Services</w:t>
      </w:r>
      <w:r w:rsidR="00CB2BDB" w:rsidRPr="001977EE">
        <w:t>; and</w:t>
      </w:r>
    </w:p>
    <w:p w14:paraId="1CF36BE6" w14:textId="1C44751D" w:rsidR="0071204C" w:rsidRPr="001977EE" w:rsidRDefault="004B2164" w:rsidP="00921989">
      <w:pPr>
        <w:pStyle w:val="SM111"/>
      </w:pPr>
      <w:proofErr w:type="gramStart"/>
      <w:r w:rsidRPr="001977EE">
        <w:t>set</w:t>
      </w:r>
      <w:proofErr w:type="gramEnd"/>
      <w:r w:rsidRPr="001977EE">
        <w:t xml:space="preserve"> out</w:t>
      </w:r>
      <w:r w:rsidR="006B5E75" w:rsidRPr="001977EE">
        <w:t xml:space="preserve"> </w:t>
      </w:r>
      <w:r w:rsidR="00A64EF9" w:rsidRPr="001977EE">
        <w:t xml:space="preserve">the </w:t>
      </w:r>
      <w:r w:rsidR="006B5E75" w:rsidRPr="001977EE">
        <w:t xml:space="preserve">specific Standards </w:t>
      </w:r>
      <w:r w:rsidR="00A64EF9" w:rsidRPr="001977EE">
        <w:t xml:space="preserve">and requirements </w:t>
      </w:r>
      <w:r w:rsidR="006B5E75" w:rsidRPr="001977EE">
        <w:t xml:space="preserve">applicable to the </w:t>
      </w:r>
      <w:r w:rsidRPr="001977EE">
        <w:t xml:space="preserve">provision of </w:t>
      </w:r>
      <w:r w:rsidR="009F4A9E" w:rsidRPr="001977EE">
        <w:t>Panel Services</w:t>
      </w:r>
      <w:r w:rsidRPr="001977EE">
        <w:t xml:space="preserve"> by the Supplier</w:t>
      </w:r>
      <w:r w:rsidR="006B5E75" w:rsidRPr="001977EE">
        <w:t>.</w:t>
      </w:r>
    </w:p>
    <w:p w14:paraId="417F218F" w14:textId="142758CE" w:rsidR="0071204C" w:rsidRPr="001977EE" w:rsidRDefault="0071204C" w:rsidP="00921989">
      <w:pPr>
        <w:pStyle w:val="SM11"/>
      </w:pPr>
      <w:r w:rsidRPr="001977EE">
        <w:t xml:space="preserve">Current government policy is that all UK Central Government </w:t>
      </w:r>
      <w:r w:rsidR="00121078" w:rsidRPr="001977EE">
        <w:t xml:space="preserve">Ministerial </w:t>
      </w:r>
      <w:r w:rsidRPr="001977EE">
        <w:t xml:space="preserve">Departments (excluding Regulators), their Executive Agencies and the successors of these bodies </w:t>
      </w:r>
      <w:r w:rsidR="001C3098" w:rsidRPr="001977EE">
        <w:t xml:space="preserve">will </w:t>
      </w:r>
      <w:r w:rsidRPr="001977EE">
        <w:t>procure</w:t>
      </w:r>
      <w:r w:rsidR="00B06D55" w:rsidRPr="001977EE">
        <w:t xml:space="preserve"> g</w:t>
      </w:r>
      <w:r w:rsidRPr="001977EE">
        <w:t xml:space="preserve">eneral </w:t>
      </w:r>
      <w:r w:rsidR="00B06D55" w:rsidRPr="001977EE">
        <w:t>l</w:t>
      </w:r>
      <w:r w:rsidRPr="001977EE">
        <w:t xml:space="preserve">egal </w:t>
      </w:r>
      <w:r w:rsidR="00B06D55" w:rsidRPr="001977EE">
        <w:t>s</w:t>
      </w:r>
      <w:r w:rsidRPr="001977EE">
        <w:t xml:space="preserve">ervice requirements through this Panel Agreement, </w:t>
      </w:r>
      <w:r w:rsidR="00EB60B9" w:rsidRPr="001977EE">
        <w:t xml:space="preserve">subject to paragraph </w:t>
      </w:r>
      <w:r w:rsidR="00D3502E" w:rsidRPr="001977EE">
        <w:t>1.4</w:t>
      </w:r>
      <w:r w:rsidR="0022280B" w:rsidRPr="001977EE">
        <w:t xml:space="preserve"> (below).</w:t>
      </w:r>
      <w:r w:rsidR="00121078" w:rsidRPr="001977EE">
        <w:t xml:space="preserve">  Other Central Government bodies are also enabled to use this Panel Agreement but are not subject to this Policy.  </w:t>
      </w:r>
    </w:p>
    <w:p w14:paraId="45373DF8" w14:textId="583E5503" w:rsidR="000A3352" w:rsidRPr="001977EE" w:rsidRDefault="000A3352" w:rsidP="00921989">
      <w:pPr>
        <w:pStyle w:val="SM11"/>
      </w:pPr>
      <w:r w:rsidRPr="001977EE">
        <w:t xml:space="preserve">Appendix 1 (Authorised </w:t>
      </w:r>
      <w:r w:rsidR="00615170" w:rsidRPr="001977EE">
        <w:t>Panel Customer</w:t>
      </w:r>
      <w:r w:rsidRPr="001977EE">
        <w:t xml:space="preserve"> List) to this Schedule 2 (</w:t>
      </w:r>
      <w:r w:rsidR="00A3019C" w:rsidRPr="001977EE">
        <w:t xml:space="preserve">Part A: </w:t>
      </w:r>
      <w:r w:rsidRPr="001977EE">
        <w:t>Panel Services</w:t>
      </w:r>
      <w:r w:rsidR="00A3019C" w:rsidRPr="001977EE">
        <w:t>)</w:t>
      </w:r>
      <w:r w:rsidRPr="001977EE">
        <w:t xml:space="preserve"> sets out </w:t>
      </w:r>
      <w:r w:rsidR="00A64EF9" w:rsidRPr="001977EE">
        <w:t>identities</w:t>
      </w:r>
      <w:r w:rsidRPr="001977EE">
        <w:t xml:space="preserve"> of the </w:t>
      </w:r>
      <w:r w:rsidR="00CA53D2" w:rsidRPr="001977EE">
        <w:t xml:space="preserve">Panel </w:t>
      </w:r>
      <w:r w:rsidR="00615170" w:rsidRPr="001977EE">
        <w:t>Customer</w:t>
      </w:r>
      <w:r w:rsidRPr="001977EE">
        <w:t xml:space="preserve">s authorised to use this Panel Agreement (as the same may be amended or updated from time to time). </w:t>
      </w:r>
      <w:r w:rsidR="00CA53D2" w:rsidRPr="001977EE">
        <w:t xml:space="preserve">Panel </w:t>
      </w:r>
      <w:r w:rsidR="00615170" w:rsidRPr="001977EE">
        <w:t>Customer</w:t>
      </w:r>
      <w:r w:rsidRPr="001977EE">
        <w:t xml:space="preserve">s listed in Appendix 1 </w:t>
      </w:r>
      <w:r w:rsidR="00A3019C" w:rsidRPr="001977EE">
        <w:t xml:space="preserve">(Authorised Panel Customer List) </w:t>
      </w:r>
      <w:r w:rsidRPr="001977EE">
        <w:t xml:space="preserve">will not be required to procure general legal services using this Panel Agreement </w:t>
      </w:r>
      <w:r w:rsidR="00CA53D2" w:rsidRPr="001977EE">
        <w:t>where</w:t>
      </w:r>
      <w:r w:rsidRPr="001977EE">
        <w:t xml:space="preserve"> the following circumstances</w:t>
      </w:r>
      <w:r w:rsidR="00CA53D2" w:rsidRPr="001977EE">
        <w:t xml:space="preserve"> apply to the Panel</w:t>
      </w:r>
      <w:r w:rsidR="00615170" w:rsidRPr="001977EE">
        <w:t xml:space="preserve"> Customer</w:t>
      </w:r>
      <w:r w:rsidRPr="001977EE">
        <w:t>:</w:t>
      </w:r>
    </w:p>
    <w:p w14:paraId="73AC7EBE" w14:textId="21CB4524" w:rsidR="00B06D55" w:rsidRPr="001977EE" w:rsidRDefault="000A3352" w:rsidP="00B06D55">
      <w:pPr>
        <w:pStyle w:val="SM111"/>
      </w:pPr>
      <w:r w:rsidRPr="001977EE">
        <w:t xml:space="preserve">a </w:t>
      </w:r>
      <w:r w:rsidR="00CA53D2" w:rsidRPr="001977EE">
        <w:t xml:space="preserve">Panel </w:t>
      </w:r>
      <w:r w:rsidR="00615170" w:rsidRPr="001977EE">
        <w:t>Customer</w:t>
      </w:r>
      <w:r w:rsidR="00B06D55" w:rsidRPr="001977EE">
        <w:t xml:space="preserve"> has a specialist requirement for a Panel Service which cannot be met through this Panel Agreement; or</w:t>
      </w:r>
    </w:p>
    <w:p w14:paraId="1C74D1A0" w14:textId="7666379D" w:rsidR="00B06D55" w:rsidRPr="001977EE" w:rsidRDefault="00B06D55" w:rsidP="00B06D55">
      <w:pPr>
        <w:pStyle w:val="Style111"/>
      </w:pPr>
      <w:r w:rsidRPr="001977EE">
        <w:t xml:space="preserve">a Panel Customer is able to demonstrate they can get better value for money from an alternative arrangement, </w:t>
      </w:r>
    </w:p>
    <w:p w14:paraId="7239EEC6" w14:textId="2B2CC55A" w:rsidR="000A3352" w:rsidRPr="001977EE" w:rsidRDefault="00CA53D2" w:rsidP="00B06D55">
      <w:pPr>
        <w:pStyle w:val="SM111"/>
        <w:numPr>
          <w:ilvl w:val="0"/>
          <w:numId w:val="0"/>
        </w:numPr>
        <w:ind w:left="1430"/>
      </w:pPr>
      <w:proofErr w:type="gramStart"/>
      <w:r w:rsidRPr="001977EE">
        <w:t>and</w:t>
      </w:r>
      <w:proofErr w:type="gramEnd"/>
      <w:r w:rsidRPr="001977EE">
        <w:t xml:space="preserve"> </w:t>
      </w:r>
      <w:r w:rsidR="00F94E28" w:rsidRPr="001977EE">
        <w:t xml:space="preserve">in either case </w:t>
      </w:r>
      <w:r w:rsidRPr="001977EE">
        <w:t>the</w:t>
      </w:r>
      <w:r w:rsidR="00F94E28" w:rsidRPr="001977EE">
        <w:t xml:space="preserve"> Panel </w:t>
      </w:r>
      <w:r w:rsidR="00615170" w:rsidRPr="001977EE">
        <w:t>Customer</w:t>
      </w:r>
      <w:r w:rsidR="00F94E28" w:rsidRPr="001977EE">
        <w:t xml:space="preserve"> has acquired permission from the designated authoriser.  </w:t>
      </w:r>
      <w:r w:rsidR="00185DF4" w:rsidRPr="001977EE">
        <w:t>The d</w:t>
      </w:r>
      <w:r w:rsidR="00F94E28" w:rsidRPr="001977EE">
        <w:t xml:space="preserve">esignated authoriser for these purposes shall be such person as is notified </w:t>
      </w:r>
      <w:r w:rsidR="00117908" w:rsidRPr="001977EE">
        <w:t xml:space="preserve">from time to time </w:t>
      </w:r>
      <w:r w:rsidR="00F94E28" w:rsidRPr="001977EE">
        <w:t xml:space="preserve">to </w:t>
      </w:r>
      <w:r w:rsidR="00117908" w:rsidRPr="001977EE">
        <w:t>the Supplier by the Authority</w:t>
      </w:r>
      <w:r w:rsidR="00B23551" w:rsidRPr="001977EE">
        <w:t>.</w:t>
      </w:r>
      <w:r w:rsidR="00117908" w:rsidRPr="001977EE">
        <w:t xml:space="preserve"> </w:t>
      </w:r>
      <w:r w:rsidR="00F94E28" w:rsidRPr="001977EE">
        <w:t xml:space="preserve">  </w:t>
      </w:r>
      <w:r w:rsidRPr="001977EE">
        <w:t xml:space="preserve"> </w:t>
      </w:r>
    </w:p>
    <w:p w14:paraId="338A074F" w14:textId="0C012530" w:rsidR="00CA53D2" w:rsidRPr="001977EE" w:rsidRDefault="00B06D55" w:rsidP="00921989">
      <w:pPr>
        <w:pStyle w:val="SM11"/>
      </w:pPr>
      <w:r w:rsidRPr="001977EE">
        <w:t>T</w:t>
      </w:r>
      <w:r w:rsidR="00CA53D2" w:rsidRPr="001977EE">
        <w:t xml:space="preserve">he value of the fees the Panel </w:t>
      </w:r>
      <w:r w:rsidR="00615170" w:rsidRPr="001977EE">
        <w:t>Customer</w:t>
      </w:r>
      <w:r w:rsidR="00CA53D2" w:rsidRPr="001977EE">
        <w:t xml:space="preserve"> expects to be incurred in relation to its requirement</w:t>
      </w:r>
      <w:r w:rsidR="00C233B6" w:rsidRPr="001977EE">
        <w:t>, aggregated with similar requirements relating to the same policy, project or exercise</w:t>
      </w:r>
      <w:r w:rsidR="00D6691B" w:rsidRPr="001977EE">
        <w:t xml:space="preserve"> (excluding work relating </w:t>
      </w:r>
      <w:r w:rsidR="00B23551" w:rsidRPr="001977EE">
        <w:t xml:space="preserve">the matters set </w:t>
      </w:r>
      <w:r w:rsidR="00D6691B" w:rsidRPr="001977EE">
        <w:t>out in paragraph 1.</w:t>
      </w:r>
      <w:r w:rsidRPr="001977EE">
        <w:t>6</w:t>
      </w:r>
      <w:r w:rsidR="00D6691B" w:rsidRPr="001977EE">
        <w:t xml:space="preserve"> below)</w:t>
      </w:r>
      <w:r w:rsidR="00C233B6" w:rsidRPr="001977EE">
        <w:t>, amounts to twenty thousand pounds (£20,000) or less;</w:t>
      </w:r>
      <w:r w:rsidR="00D6691B" w:rsidRPr="001977EE">
        <w:t xml:space="preserve"> or</w:t>
      </w:r>
    </w:p>
    <w:p w14:paraId="51473265" w14:textId="4ACA2F15" w:rsidR="009167A3" w:rsidRPr="001977EE" w:rsidRDefault="00B06D55" w:rsidP="00921989">
      <w:pPr>
        <w:pStyle w:val="SM11"/>
      </w:pPr>
      <w:r w:rsidRPr="001977EE">
        <w:t>T</w:t>
      </w:r>
      <w:r w:rsidR="00C233B6" w:rsidRPr="001977EE">
        <w:t>he Panel</w:t>
      </w:r>
      <w:r w:rsidR="00615170" w:rsidRPr="001977EE">
        <w:t xml:space="preserve"> Customer</w:t>
      </w:r>
      <w:r w:rsidR="00C233B6" w:rsidRPr="001977EE">
        <w:t>’s requirement (whether or not i</w:t>
      </w:r>
      <w:r w:rsidR="006A519A" w:rsidRPr="001977EE">
        <w:t xml:space="preserve">t is part of a wider piece of work involving related requirements) </w:t>
      </w:r>
      <w:r w:rsidR="00C233B6" w:rsidRPr="001977EE">
        <w:t>relates to transactional property work (including non-complex conveyancing and work relating to leases and licences)</w:t>
      </w:r>
      <w:r w:rsidR="00CD0B43" w:rsidRPr="001977EE">
        <w:t xml:space="preserve"> or employment litigation</w:t>
      </w:r>
      <w:r w:rsidR="00121078" w:rsidRPr="001977EE">
        <w:t xml:space="preserve"> or other litigation</w:t>
      </w:r>
      <w:r w:rsidR="00CD0B43" w:rsidRPr="001977EE">
        <w:t xml:space="preserve"> work</w:t>
      </w:r>
      <w:r w:rsidR="00C233B6" w:rsidRPr="001977EE">
        <w:t xml:space="preserve"> and the value of the fees the Panel </w:t>
      </w:r>
      <w:r w:rsidR="00615170" w:rsidRPr="001977EE">
        <w:t>Customer</w:t>
      </w:r>
      <w:r w:rsidR="00C233B6" w:rsidRPr="001977EE">
        <w:t xml:space="preserve"> expects to be incurred amounts to twenty thousand pounds (£20,000) or less.</w:t>
      </w:r>
    </w:p>
    <w:p w14:paraId="33653E95" w14:textId="183C26A7" w:rsidR="00B54860" w:rsidRPr="001977EE" w:rsidRDefault="00B54860" w:rsidP="00921989">
      <w:pPr>
        <w:pStyle w:val="SM11"/>
      </w:pPr>
      <w:r w:rsidRPr="001977EE">
        <w:t>This</w:t>
      </w:r>
      <w:r w:rsidR="00675A76" w:rsidRPr="001977EE">
        <w:t xml:space="preserve"> </w:t>
      </w:r>
      <w:r w:rsidR="003554A9" w:rsidRPr="001977EE">
        <w:t>Panel</w:t>
      </w:r>
      <w:r w:rsidR="00675A76" w:rsidRPr="001977EE">
        <w:t xml:space="preserve"> </w:t>
      </w:r>
      <w:r w:rsidRPr="001977EE">
        <w:t>Agreement will be managed centrally by the Authority</w:t>
      </w:r>
      <w:r w:rsidR="00CD0B43" w:rsidRPr="001977EE">
        <w:t xml:space="preserve">. </w:t>
      </w:r>
      <w:r w:rsidR="001256FE" w:rsidRPr="001977EE">
        <w:t xml:space="preserve"> </w:t>
      </w:r>
      <w:r w:rsidR="00CD0B43" w:rsidRPr="001977EE">
        <w:t>T</w:t>
      </w:r>
      <w:r w:rsidRPr="001977EE">
        <w:t xml:space="preserve">he </w:t>
      </w:r>
      <w:r w:rsidR="0056392C" w:rsidRPr="001977EE">
        <w:t>Legal Services Contract</w:t>
      </w:r>
      <w:r w:rsidR="00BC00AB" w:rsidRPr="001977EE">
        <w:t>s</w:t>
      </w:r>
      <w:r w:rsidRPr="001977EE">
        <w:t xml:space="preserve"> will be managed by the </w:t>
      </w:r>
      <w:r w:rsidR="005D3C66" w:rsidRPr="001977EE">
        <w:t xml:space="preserve">Panel </w:t>
      </w:r>
      <w:r w:rsidR="00615170" w:rsidRPr="001977EE">
        <w:t>Customer</w:t>
      </w:r>
      <w:r w:rsidR="00B121B1" w:rsidRPr="001977EE">
        <w:t>(s)</w:t>
      </w:r>
      <w:r w:rsidR="001A30E9" w:rsidRPr="001977EE">
        <w:t>.</w:t>
      </w:r>
      <w:r w:rsidR="00111032" w:rsidRPr="001977EE">
        <w:t xml:space="preserve"> </w:t>
      </w:r>
    </w:p>
    <w:p w14:paraId="5E0AEBA9" w14:textId="53B3C1AA" w:rsidR="00B60C0F" w:rsidRPr="001977EE" w:rsidRDefault="00B60C0F" w:rsidP="00B60C0F">
      <w:pPr>
        <w:pStyle w:val="SM111"/>
        <w:numPr>
          <w:ilvl w:val="0"/>
          <w:numId w:val="0"/>
        </w:numPr>
        <w:ind w:left="1430"/>
      </w:pPr>
    </w:p>
    <w:p w14:paraId="00871656" w14:textId="79C9C22E" w:rsidR="00B60C0F" w:rsidRPr="001977EE" w:rsidRDefault="00B60C0F" w:rsidP="00B60C0F">
      <w:pPr>
        <w:pStyle w:val="SM111"/>
        <w:numPr>
          <w:ilvl w:val="0"/>
          <w:numId w:val="0"/>
        </w:numPr>
        <w:ind w:left="1430"/>
      </w:pPr>
    </w:p>
    <w:p w14:paraId="4E1EB790" w14:textId="77777777" w:rsidR="005E4693" w:rsidRPr="001977EE" w:rsidRDefault="00BB723E" w:rsidP="00114DEC">
      <w:pPr>
        <w:pStyle w:val="SM1"/>
        <w:numPr>
          <w:ilvl w:val="0"/>
          <w:numId w:val="7"/>
        </w:numPr>
        <w:ind w:left="0"/>
      </w:pPr>
      <w:r w:rsidRPr="001977EE">
        <w:lastRenderedPageBreak/>
        <w:t>SC</w:t>
      </w:r>
      <w:r w:rsidR="00287B99" w:rsidRPr="001977EE">
        <w:t>OPE OF THE REQUIREMENT</w:t>
      </w:r>
    </w:p>
    <w:p w14:paraId="4A7970B2" w14:textId="77777777" w:rsidR="00921989" w:rsidRPr="001977EE" w:rsidRDefault="00921989" w:rsidP="00921989">
      <w:pPr>
        <w:pStyle w:val="ListParagraph"/>
        <w:numPr>
          <w:ilvl w:val="0"/>
          <w:numId w:val="3"/>
        </w:numPr>
        <w:spacing w:before="120" w:after="0" w:line="240" w:lineRule="auto"/>
        <w:contextualSpacing w:val="0"/>
        <w:jc w:val="both"/>
        <w:rPr>
          <w:rFonts w:ascii="Arial" w:hAnsi="Arial"/>
          <w:vanish/>
        </w:rPr>
      </w:pPr>
    </w:p>
    <w:p w14:paraId="6D17892D" w14:textId="6D438386" w:rsidR="00C504E4" w:rsidRPr="001977EE" w:rsidRDefault="005E4693" w:rsidP="00921989">
      <w:pPr>
        <w:pStyle w:val="SM11"/>
      </w:pPr>
      <w:r w:rsidRPr="001977EE">
        <w:t xml:space="preserve">The </w:t>
      </w:r>
      <w:r w:rsidR="0098639F" w:rsidRPr="001977EE">
        <w:t xml:space="preserve">Authority and </w:t>
      </w:r>
      <w:r w:rsidR="006A519A" w:rsidRPr="001977EE">
        <w:t xml:space="preserve">Panel </w:t>
      </w:r>
      <w:r w:rsidR="00615170" w:rsidRPr="001977EE">
        <w:t>Customer</w:t>
      </w:r>
      <w:r w:rsidR="00B73A11" w:rsidRPr="001977EE">
        <w:t>s</w:t>
      </w:r>
      <w:r w:rsidR="0098639F" w:rsidRPr="001977EE">
        <w:t xml:space="preserve"> require external</w:t>
      </w:r>
      <w:r w:rsidR="008827BF" w:rsidRPr="001977EE">
        <w:t xml:space="preserve"> legal</w:t>
      </w:r>
      <w:r w:rsidR="0098639F" w:rsidRPr="001977EE">
        <w:t xml:space="preserve"> expertise and flexible resource to </w:t>
      </w:r>
      <w:r w:rsidR="00F86C32" w:rsidRPr="001977EE">
        <w:t>provide</w:t>
      </w:r>
      <w:r w:rsidR="0098639F" w:rsidRPr="001977EE">
        <w:t xml:space="preserve"> general legal services. </w:t>
      </w:r>
    </w:p>
    <w:p w14:paraId="3AF665E1" w14:textId="55D5D096" w:rsidR="009C2263" w:rsidRPr="001977EE" w:rsidRDefault="00621748" w:rsidP="00921989">
      <w:pPr>
        <w:pStyle w:val="SM11"/>
        <w:rPr>
          <w:rFonts w:cs="Arial"/>
        </w:rPr>
      </w:pPr>
      <w:r w:rsidRPr="001977EE">
        <w:rPr>
          <w:rFonts w:cs="Arial"/>
        </w:rPr>
        <w:t xml:space="preserve">The Supplier shall </w:t>
      </w:r>
      <w:r w:rsidR="00C504E4" w:rsidRPr="001977EE">
        <w:rPr>
          <w:rFonts w:cs="Arial"/>
        </w:rPr>
        <w:t xml:space="preserve">support the Authority and </w:t>
      </w:r>
      <w:r w:rsidR="00615170" w:rsidRPr="001977EE">
        <w:rPr>
          <w:rFonts w:cs="Arial"/>
        </w:rPr>
        <w:t>Panel Customer</w:t>
      </w:r>
      <w:r w:rsidR="00B73A11" w:rsidRPr="001977EE">
        <w:rPr>
          <w:rFonts w:cs="Arial"/>
        </w:rPr>
        <w:t>s</w:t>
      </w:r>
      <w:r w:rsidR="00C504E4" w:rsidRPr="001977EE">
        <w:rPr>
          <w:rFonts w:cs="Arial"/>
        </w:rPr>
        <w:t xml:space="preserve"> by </w:t>
      </w:r>
      <w:r w:rsidRPr="001977EE">
        <w:rPr>
          <w:rFonts w:cs="Arial"/>
        </w:rPr>
        <w:t>provid</w:t>
      </w:r>
      <w:r w:rsidR="00C504E4" w:rsidRPr="001977EE">
        <w:rPr>
          <w:rFonts w:cs="Arial"/>
        </w:rPr>
        <w:t>ing</w:t>
      </w:r>
      <w:r w:rsidRPr="001977EE">
        <w:rPr>
          <w:rFonts w:cs="Arial"/>
        </w:rPr>
        <w:t xml:space="preserve"> r</w:t>
      </w:r>
      <w:r w:rsidR="0098639F" w:rsidRPr="001977EE">
        <w:rPr>
          <w:rFonts w:cs="Arial"/>
        </w:rPr>
        <w:t xml:space="preserve">esource to </w:t>
      </w:r>
      <w:r w:rsidR="00F86C32" w:rsidRPr="001977EE">
        <w:rPr>
          <w:rFonts w:cs="Arial"/>
        </w:rPr>
        <w:t xml:space="preserve">address </w:t>
      </w:r>
      <w:r w:rsidR="0098639F" w:rsidRPr="001977EE">
        <w:rPr>
          <w:rFonts w:cs="Arial"/>
        </w:rPr>
        <w:t xml:space="preserve">gaps in existing </w:t>
      </w:r>
      <w:r w:rsidR="008827BF" w:rsidRPr="001977EE">
        <w:rPr>
          <w:rFonts w:cs="Arial"/>
        </w:rPr>
        <w:t xml:space="preserve">legal </w:t>
      </w:r>
      <w:r w:rsidR="0098639F" w:rsidRPr="001977EE">
        <w:rPr>
          <w:rFonts w:cs="Arial"/>
        </w:rPr>
        <w:t>expertise</w:t>
      </w:r>
      <w:r w:rsidR="004D627F" w:rsidRPr="001977EE">
        <w:rPr>
          <w:rFonts w:cs="Arial"/>
        </w:rPr>
        <w:t>, periods of absence</w:t>
      </w:r>
      <w:r w:rsidR="00F86C32" w:rsidRPr="001977EE">
        <w:rPr>
          <w:rFonts w:cs="Arial"/>
        </w:rPr>
        <w:t>, lack of internal capacity</w:t>
      </w:r>
      <w:r w:rsidR="004D627F" w:rsidRPr="001977EE">
        <w:rPr>
          <w:rFonts w:cs="Arial"/>
        </w:rPr>
        <w:t xml:space="preserve"> </w:t>
      </w:r>
      <w:r w:rsidR="00F86C32" w:rsidRPr="001977EE">
        <w:rPr>
          <w:rFonts w:cs="Arial"/>
        </w:rPr>
        <w:t>and/</w:t>
      </w:r>
      <w:r w:rsidR="004D627F" w:rsidRPr="001977EE">
        <w:rPr>
          <w:rFonts w:cs="Arial"/>
        </w:rPr>
        <w:t>or peaks in demand</w:t>
      </w:r>
      <w:r w:rsidR="0098639F" w:rsidRPr="001977EE">
        <w:rPr>
          <w:rFonts w:cs="Arial"/>
        </w:rPr>
        <w:t xml:space="preserve"> at short notice</w:t>
      </w:r>
      <w:r w:rsidR="00B73A11" w:rsidRPr="001977EE">
        <w:rPr>
          <w:rFonts w:cs="Arial"/>
        </w:rPr>
        <w:t>. A</w:t>
      </w:r>
      <w:r w:rsidR="0098639F" w:rsidRPr="001977EE">
        <w:rPr>
          <w:rFonts w:cs="Arial"/>
        </w:rPr>
        <w:t xml:space="preserve"> flexible responsive approach</w:t>
      </w:r>
      <w:r w:rsidR="00F86C32" w:rsidRPr="001977EE">
        <w:rPr>
          <w:rFonts w:cs="Arial"/>
        </w:rPr>
        <w:t xml:space="preserve"> from the Supplier</w:t>
      </w:r>
      <w:r w:rsidR="0098639F" w:rsidRPr="001977EE">
        <w:rPr>
          <w:rFonts w:cs="Arial"/>
        </w:rPr>
        <w:t xml:space="preserve"> is therefore essential.</w:t>
      </w:r>
    </w:p>
    <w:p w14:paraId="19AF3D2F" w14:textId="5923C2F5" w:rsidR="005905FC" w:rsidRPr="001977EE" w:rsidRDefault="004F6DD5" w:rsidP="00921989">
      <w:pPr>
        <w:pStyle w:val="SM11"/>
        <w:rPr>
          <w:rFonts w:cs="Arial"/>
        </w:rPr>
      </w:pPr>
      <w:r w:rsidRPr="001977EE">
        <w:rPr>
          <w:rFonts w:cs="Arial"/>
        </w:rPr>
        <w:t xml:space="preserve">This </w:t>
      </w:r>
      <w:r w:rsidR="003554A9" w:rsidRPr="001977EE">
        <w:rPr>
          <w:rFonts w:cs="Arial"/>
        </w:rPr>
        <w:t>Panel</w:t>
      </w:r>
      <w:r w:rsidRPr="001977EE">
        <w:rPr>
          <w:rFonts w:cs="Arial"/>
        </w:rPr>
        <w:t xml:space="preserve"> Agreement is </w:t>
      </w:r>
      <w:r w:rsidR="005905FC" w:rsidRPr="001977EE">
        <w:rPr>
          <w:rFonts w:cs="Arial"/>
        </w:rPr>
        <w:t xml:space="preserve">predominantly </w:t>
      </w:r>
      <w:r w:rsidR="00A339C2" w:rsidRPr="001977EE">
        <w:rPr>
          <w:rFonts w:cs="Arial"/>
        </w:rPr>
        <w:t xml:space="preserve">for the provision of </w:t>
      </w:r>
      <w:r w:rsidR="004A7534" w:rsidRPr="001977EE">
        <w:rPr>
          <w:rFonts w:cs="Arial"/>
        </w:rPr>
        <w:t xml:space="preserve">Panel </w:t>
      </w:r>
      <w:r w:rsidRPr="001977EE">
        <w:rPr>
          <w:rFonts w:cs="Arial"/>
        </w:rPr>
        <w:t xml:space="preserve">Services in the law of England and Wales. However </w:t>
      </w:r>
      <w:r w:rsidR="00954396" w:rsidRPr="001977EE">
        <w:rPr>
          <w:rFonts w:cs="Arial"/>
        </w:rPr>
        <w:t xml:space="preserve">the </w:t>
      </w:r>
      <w:r w:rsidR="00D801BD" w:rsidRPr="001977EE">
        <w:rPr>
          <w:rFonts w:cs="Arial"/>
        </w:rPr>
        <w:t xml:space="preserve">Panel </w:t>
      </w:r>
      <w:r w:rsidR="00615170" w:rsidRPr="001977EE">
        <w:rPr>
          <w:rFonts w:cs="Arial"/>
        </w:rPr>
        <w:t>Customer</w:t>
      </w:r>
      <w:r w:rsidR="00954396" w:rsidRPr="001977EE">
        <w:rPr>
          <w:rFonts w:cs="Arial"/>
        </w:rPr>
        <w:t>(s)</w:t>
      </w:r>
      <w:r w:rsidRPr="001977EE">
        <w:rPr>
          <w:rFonts w:cs="Arial"/>
        </w:rPr>
        <w:t xml:space="preserve"> may require advice on Scottish law, in areas </w:t>
      </w:r>
      <w:r w:rsidR="00954396" w:rsidRPr="001977EE">
        <w:rPr>
          <w:rFonts w:cs="Arial"/>
        </w:rPr>
        <w:t xml:space="preserve">of specialism </w:t>
      </w:r>
      <w:r w:rsidR="005905FC" w:rsidRPr="001977EE">
        <w:rPr>
          <w:rFonts w:cs="Arial"/>
        </w:rPr>
        <w:t xml:space="preserve">including but not limited to </w:t>
      </w:r>
      <w:r w:rsidRPr="001977EE">
        <w:rPr>
          <w:rFonts w:cs="Arial"/>
        </w:rPr>
        <w:t>property and taxation</w:t>
      </w:r>
      <w:r w:rsidR="005905FC" w:rsidRPr="001977EE">
        <w:rPr>
          <w:rFonts w:cs="Arial"/>
        </w:rPr>
        <w:t xml:space="preserve">. </w:t>
      </w:r>
    </w:p>
    <w:p w14:paraId="72CB02BF" w14:textId="0AA5717C" w:rsidR="009262EC" w:rsidRPr="001977EE" w:rsidRDefault="00E02DF0" w:rsidP="00921989">
      <w:pPr>
        <w:pStyle w:val="SM11"/>
        <w:rPr>
          <w:rFonts w:cs="Arial"/>
        </w:rPr>
      </w:pPr>
      <w:r w:rsidRPr="001977EE">
        <w:rPr>
          <w:rFonts w:cs="Arial"/>
        </w:rPr>
        <w:t xml:space="preserve">This </w:t>
      </w:r>
      <w:r w:rsidR="003554A9" w:rsidRPr="001977EE">
        <w:rPr>
          <w:rFonts w:cs="Arial"/>
        </w:rPr>
        <w:t>Panel</w:t>
      </w:r>
      <w:r w:rsidRPr="001977EE">
        <w:rPr>
          <w:rFonts w:cs="Arial"/>
        </w:rPr>
        <w:t xml:space="preserve"> Agreement </w:t>
      </w:r>
      <w:r w:rsidR="0042410F" w:rsidRPr="001977EE">
        <w:rPr>
          <w:rFonts w:cs="Arial"/>
        </w:rPr>
        <w:t xml:space="preserve">also </w:t>
      </w:r>
      <w:r w:rsidR="00163477" w:rsidRPr="001977EE">
        <w:rPr>
          <w:rFonts w:cs="Arial"/>
        </w:rPr>
        <w:t xml:space="preserve">covers </w:t>
      </w:r>
      <w:r w:rsidR="001A1224" w:rsidRPr="001977EE">
        <w:rPr>
          <w:rFonts w:cs="Arial"/>
        </w:rPr>
        <w:t xml:space="preserve">foreign law advice </w:t>
      </w:r>
      <w:r w:rsidR="00FC5EA5" w:rsidRPr="001977EE">
        <w:rPr>
          <w:rFonts w:cs="Arial"/>
        </w:rPr>
        <w:t xml:space="preserve">for the </w:t>
      </w:r>
      <w:r w:rsidR="00163477" w:rsidRPr="001977EE">
        <w:rPr>
          <w:rFonts w:cs="Arial"/>
        </w:rPr>
        <w:t xml:space="preserve">legal </w:t>
      </w:r>
      <w:proofErr w:type="spellStart"/>
      <w:r w:rsidR="00FC5EA5" w:rsidRPr="001977EE">
        <w:rPr>
          <w:rFonts w:cs="Arial"/>
        </w:rPr>
        <w:t>specialism</w:t>
      </w:r>
      <w:r w:rsidR="00503765" w:rsidRPr="001977EE">
        <w:rPr>
          <w:rFonts w:cs="Arial"/>
        </w:rPr>
        <w:t>s</w:t>
      </w:r>
      <w:proofErr w:type="spellEnd"/>
      <w:r w:rsidR="00503765" w:rsidRPr="001977EE">
        <w:rPr>
          <w:rFonts w:cs="Arial"/>
        </w:rPr>
        <w:t xml:space="preserve"> and industry sectors</w:t>
      </w:r>
      <w:r w:rsidR="00FC5EA5" w:rsidRPr="001977EE">
        <w:rPr>
          <w:rFonts w:cs="Arial"/>
        </w:rPr>
        <w:t xml:space="preserve"> set out in this Schedule 2</w:t>
      </w:r>
      <w:r w:rsidR="00E84C5E" w:rsidRPr="001977EE">
        <w:rPr>
          <w:rFonts w:cs="Arial"/>
        </w:rPr>
        <w:t xml:space="preserve"> </w:t>
      </w:r>
      <w:r w:rsidR="00503765" w:rsidRPr="001977EE">
        <w:rPr>
          <w:rFonts w:cs="Arial"/>
        </w:rPr>
        <w:t>(</w:t>
      </w:r>
      <w:r w:rsidR="00111032" w:rsidRPr="001977EE">
        <w:rPr>
          <w:rFonts w:cs="Arial"/>
        </w:rPr>
        <w:t>Part A</w:t>
      </w:r>
      <w:r w:rsidR="00B06D55" w:rsidRPr="001977EE">
        <w:rPr>
          <w:rFonts w:cs="Arial"/>
        </w:rPr>
        <w:t>:</w:t>
      </w:r>
      <w:r w:rsidR="00111032" w:rsidRPr="001977EE">
        <w:rPr>
          <w:rFonts w:cs="Arial"/>
        </w:rPr>
        <w:t xml:space="preserve"> </w:t>
      </w:r>
      <w:r w:rsidR="004A7534" w:rsidRPr="001977EE">
        <w:rPr>
          <w:rFonts w:cs="Arial"/>
        </w:rPr>
        <w:t xml:space="preserve">Panel </w:t>
      </w:r>
      <w:r w:rsidR="00111032" w:rsidRPr="001977EE">
        <w:rPr>
          <w:rFonts w:cs="Arial"/>
        </w:rPr>
        <w:t>Services</w:t>
      </w:r>
      <w:r w:rsidR="00503765" w:rsidRPr="001977EE">
        <w:rPr>
          <w:rFonts w:cs="Arial"/>
        </w:rPr>
        <w:t>)</w:t>
      </w:r>
      <w:r w:rsidR="00163477" w:rsidRPr="001977EE">
        <w:rPr>
          <w:rFonts w:cs="Arial"/>
        </w:rPr>
        <w:t>.</w:t>
      </w:r>
      <w:r w:rsidR="0042410F" w:rsidRPr="001977EE">
        <w:rPr>
          <w:rFonts w:cs="Arial"/>
        </w:rPr>
        <w:t xml:space="preserve"> </w:t>
      </w:r>
      <w:r w:rsidR="002436AF" w:rsidRPr="001977EE">
        <w:rPr>
          <w:rFonts w:cs="Arial"/>
        </w:rPr>
        <w:t>I</w:t>
      </w:r>
      <w:r w:rsidR="0042410F" w:rsidRPr="001977EE">
        <w:rPr>
          <w:rFonts w:cs="Arial"/>
        </w:rPr>
        <w:t xml:space="preserve">n the event that a </w:t>
      </w:r>
      <w:r w:rsidR="00615170" w:rsidRPr="001977EE">
        <w:rPr>
          <w:rFonts w:cs="Arial"/>
        </w:rPr>
        <w:t>Panel Customer</w:t>
      </w:r>
      <w:r w:rsidR="0042410F" w:rsidRPr="001977EE">
        <w:rPr>
          <w:rFonts w:cs="Arial"/>
        </w:rPr>
        <w:t xml:space="preserve"> needs foreign law advice and </w:t>
      </w:r>
      <w:r w:rsidR="005A1F6A" w:rsidRPr="001977EE">
        <w:rPr>
          <w:rFonts w:cs="Arial"/>
        </w:rPr>
        <w:t>t</w:t>
      </w:r>
      <w:r w:rsidR="00FC5EA5" w:rsidRPr="001977EE">
        <w:rPr>
          <w:rFonts w:cs="Arial"/>
        </w:rPr>
        <w:t xml:space="preserve">he Supplier </w:t>
      </w:r>
      <w:r w:rsidR="0042410F" w:rsidRPr="001977EE">
        <w:rPr>
          <w:rFonts w:cs="Arial"/>
        </w:rPr>
        <w:t>has</w:t>
      </w:r>
      <w:r w:rsidR="002436AF" w:rsidRPr="001977EE">
        <w:rPr>
          <w:rFonts w:cs="Arial"/>
        </w:rPr>
        <w:t xml:space="preserve"> </w:t>
      </w:r>
      <w:r w:rsidR="00525207" w:rsidRPr="001977EE">
        <w:rPr>
          <w:rFonts w:cs="Arial"/>
        </w:rPr>
        <w:t xml:space="preserve">qualified and practising lawyers </w:t>
      </w:r>
      <w:r w:rsidR="009262EC" w:rsidRPr="001977EE">
        <w:rPr>
          <w:rFonts w:cs="Arial"/>
        </w:rPr>
        <w:t xml:space="preserve">who are appropriately authorised to provide advice </w:t>
      </w:r>
      <w:r w:rsidR="00525207" w:rsidRPr="001977EE">
        <w:rPr>
          <w:rFonts w:cs="Arial"/>
        </w:rPr>
        <w:t>in the jurisdiction</w:t>
      </w:r>
      <w:r w:rsidR="009262EC" w:rsidRPr="001977EE">
        <w:rPr>
          <w:rFonts w:cs="Arial"/>
        </w:rPr>
        <w:t xml:space="preserve">, as </w:t>
      </w:r>
      <w:r w:rsidR="00525207" w:rsidRPr="001977EE">
        <w:rPr>
          <w:rFonts w:cs="Arial"/>
        </w:rPr>
        <w:t xml:space="preserve">specified by the </w:t>
      </w:r>
      <w:r w:rsidR="00615170" w:rsidRPr="001977EE">
        <w:rPr>
          <w:rFonts w:cs="Arial"/>
        </w:rPr>
        <w:t>Panel Customer</w:t>
      </w:r>
      <w:r w:rsidR="00525207" w:rsidRPr="001977EE">
        <w:rPr>
          <w:rFonts w:cs="Arial"/>
        </w:rPr>
        <w:t>(s)</w:t>
      </w:r>
      <w:r w:rsidR="00163477" w:rsidRPr="001977EE">
        <w:rPr>
          <w:rFonts w:cs="Arial"/>
        </w:rPr>
        <w:t xml:space="preserve"> then</w:t>
      </w:r>
      <w:r w:rsidR="00F86C32" w:rsidRPr="001977EE">
        <w:rPr>
          <w:rFonts w:cs="Arial"/>
        </w:rPr>
        <w:t xml:space="preserve"> such</w:t>
      </w:r>
      <w:r w:rsidR="00163477" w:rsidRPr="001977EE">
        <w:rPr>
          <w:rFonts w:cs="Arial"/>
        </w:rPr>
        <w:t xml:space="preserve"> advice may be provided under this Panel</w:t>
      </w:r>
      <w:r w:rsidR="00F86C32" w:rsidRPr="001977EE">
        <w:rPr>
          <w:rFonts w:cs="Arial"/>
        </w:rPr>
        <w:t xml:space="preserve"> Agreement</w:t>
      </w:r>
      <w:r w:rsidR="009262EC" w:rsidRPr="001977EE">
        <w:rPr>
          <w:rFonts w:cs="Arial"/>
        </w:rPr>
        <w:t xml:space="preserve">. However, </w:t>
      </w:r>
      <w:r w:rsidR="000A11CD" w:rsidRPr="001977EE">
        <w:rPr>
          <w:rFonts w:cs="Arial"/>
        </w:rPr>
        <w:t xml:space="preserve">provision of foreign law advice is not a mandatory requirement for Panel </w:t>
      </w:r>
      <w:r w:rsidR="002436AF" w:rsidRPr="001977EE">
        <w:rPr>
          <w:rFonts w:cs="Arial"/>
        </w:rPr>
        <w:t>S</w:t>
      </w:r>
      <w:r w:rsidR="000A11CD" w:rsidRPr="001977EE">
        <w:rPr>
          <w:rFonts w:cs="Arial"/>
        </w:rPr>
        <w:t xml:space="preserve">uppliers nor is </w:t>
      </w:r>
      <w:r w:rsidR="009262EC" w:rsidRPr="001977EE">
        <w:rPr>
          <w:rFonts w:cs="Arial"/>
        </w:rPr>
        <w:t xml:space="preserve">this </w:t>
      </w:r>
      <w:r w:rsidR="003554A9" w:rsidRPr="001977EE">
        <w:rPr>
          <w:rFonts w:cs="Arial"/>
        </w:rPr>
        <w:t>Panel</w:t>
      </w:r>
      <w:r w:rsidR="002436AF" w:rsidRPr="001977EE">
        <w:rPr>
          <w:rFonts w:cs="Arial"/>
        </w:rPr>
        <w:t xml:space="preserve"> </w:t>
      </w:r>
      <w:r w:rsidR="009262EC" w:rsidRPr="001977EE">
        <w:rPr>
          <w:rFonts w:cs="Arial"/>
        </w:rPr>
        <w:t>Agreement</w:t>
      </w:r>
      <w:r w:rsidR="002436AF" w:rsidRPr="001977EE">
        <w:rPr>
          <w:rFonts w:cs="Arial"/>
        </w:rPr>
        <w:t xml:space="preserve"> </w:t>
      </w:r>
      <w:r w:rsidR="009262EC" w:rsidRPr="001977EE">
        <w:rPr>
          <w:rFonts w:cs="Arial"/>
        </w:rPr>
        <w:t xml:space="preserve">an exclusive route to market for foreign law for </w:t>
      </w:r>
      <w:r w:rsidR="004E10D3" w:rsidRPr="001977EE">
        <w:rPr>
          <w:rFonts w:cs="Arial"/>
        </w:rPr>
        <w:t xml:space="preserve">Panel </w:t>
      </w:r>
      <w:r w:rsidR="00615170" w:rsidRPr="001977EE">
        <w:rPr>
          <w:rFonts w:cs="Arial"/>
        </w:rPr>
        <w:t>Customer</w:t>
      </w:r>
      <w:r w:rsidR="004E10D3" w:rsidRPr="001977EE">
        <w:rPr>
          <w:rFonts w:cs="Arial"/>
        </w:rPr>
        <w:t xml:space="preserve">s. </w:t>
      </w:r>
    </w:p>
    <w:p w14:paraId="71354EF2" w14:textId="658A3211" w:rsidR="00213390" w:rsidRPr="001977EE" w:rsidRDefault="004F6DD5" w:rsidP="00921989">
      <w:pPr>
        <w:pStyle w:val="SM11"/>
        <w:rPr>
          <w:rFonts w:cs="Arial"/>
        </w:rPr>
      </w:pPr>
      <w:r w:rsidRPr="001977EE">
        <w:rPr>
          <w:rFonts w:cs="Arial"/>
        </w:rPr>
        <w:t xml:space="preserve">There is no obligation on </w:t>
      </w:r>
      <w:r w:rsidR="004E10D3" w:rsidRPr="001977EE">
        <w:rPr>
          <w:rFonts w:cs="Arial"/>
        </w:rPr>
        <w:t xml:space="preserve">Panel </w:t>
      </w:r>
      <w:r w:rsidR="00615170" w:rsidRPr="001977EE">
        <w:rPr>
          <w:rFonts w:cs="Arial"/>
        </w:rPr>
        <w:t>Customer</w:t>
      </w:r>
      <w:r w:rsidR="004E10D3" w:rsidRPr="001977EE">
        <w:rPr>
          <w:rFonts w:cs="Arial"/>
        </w:rPr>
        <w:t xml:space="preserve">s </w:t>
      </w:r>
      <w:r w:rsidRPr="001977EE">
        <w:rPr>
          <w:rFonts w:cs="Arial"/>
        </w:rPr>
        <w:t xml:space="preserve">to place work under this </w:t>
      </w:r>
      <w:r w:rsidR="003554A9" w:rsidRPr="001977EE">
        <w:rPr>
          <w:rFonts w:cs="Arial"/>
        </w:rPr>
        <w:t>Panel</w:t>
      </w:r>
      <w:r w:rsidR="00213390" w:rsidRPr="001977EE">
        <w:rPr>
          <w:rFonts w:cs="Arial"/>
        </w:rPr>
        <w:t xml:space="preserve"> Agreement</w:t>
      </w:r>
      <w:r w:rsidR="004E10D3" w:rsidRPr="001977EE">
        <w:rPr>
          <w:rFonts w:cs="Arial"/>
        </w:rPr>
        <w:t xml:space="preserve">.  </w:t>
      </w:r>
      <w:r w:rsidRPr="001977EE">
        <w:rPr>
          <w:rFonts w:cs="Arial"/>
        </w:rPr>
        <w:t xml:space="preserve"> </w:t>
      </w:r>
      <w:r w:rsidR="00F86C32" w:rsidRPr="001977EE">
        <w:rPr>
          <w:rFonts w:cs="Arial"/>
        </w:rPr>
        <w:t xml:space="preserve">Panel </w:t>
      </w:r>
      <w:r w:rsidR="00615170" w:rsidRPr="001977EE">
        <w:rPr>
          <w:rFonts w:cs="Arial"/>
        </w:rPr>
        <w:t>Customer</w:t>
      </w:r>
      <w:r w:rsidR="00F86C32" w:rsidRPr="001977EE">
        <w:rPr>
          <w:rFonts w:cs="Arial"/>
        </w:rPr>
        <w:t>s will</w:t>
      </w:r>
      <w:r w:rsidR="004E10D3" w:rsidRPr="001977EE">
        <w:rPr>
          <w:rFonts w:cs="Arial"/>
        </w:rPr>
        <w:t xml:space="preserve"> however</w:t>
      </w:r>
      <w:r w:rsidR="00624655" w:rsidRPr="001977EE">
        <w:rPr>
          <w:rFonts w:cs="Arial"/>
        </w:rPr>
        <w:t>,</w:t>
      </w:r>
      <w:r w:rsidR="00F86C32" w:rsidRPr="001977EE">
        <w:rPr>
          <w:rFonts w:cs="Arial"/>
        </w:rPr>
        <w:t xml:space="preserve"> </w:t>
      </w:r>
      <w:r w:rsidR="00624655" w:rsidRPr="001977EE">
        <w:rPr>
          <w:rFonts w:cs="Arial"/>
        </w:rPr>
        <w:t xml:space="preserve">insofar as it is applicable to them and unless that policy is changed, </w:t>
      </w:r>
      <w:r w:rsidR="00F86C32" w:rsidRPr="001977EE">
        <w:rPr>
          <w:rFonts w:cs="Arial"/>
        </w:rPr>
        <w:t>comply with the Government policy described at paragraph 1.</w:t>
      </w:r>
      <w:r w:rsidR="00F75BF1" w:rsidRPr="001977EE">
        <w:rPr>
          <w:rFonts w:cs="Arial"/>
        </w:rPr>
        <w:t>3</w:t>
      </w:r>
      <w:r w:rsidR="00F86C32" w:rsidRPr="001977EE">
        <w:rPr>
          <w:rFonts w:cs="Arial"/>
        </w:rPr>
        <w:t xml:space="preserve"> (above) in utilising this Panel Agreement appropriately. </w:t>
      </w:r>
    </w:p>
    <w:p w14:paraId="252299F8" w14:textId="77777777" w:rsidR="0022697E" w:rsidRPr="001977EE" w:rsidRDefault="0022697E" w:rsidP="00921989">
      <w:pPr>
        <w:pStyle w:val="SM11"/>
        <w:rPr>
          <w:b/>
        </w:rPr>
      </w:pPr>
      <w:r w:rsidRPr="001977EE">
        <w:rPr>
          <w:b/>
        </w:rPr>
        <w:t>Out of Scope</w:t>
      </w:r>
    </w:p>
    <w:p w14:paraId="3B7982E8" w14:textId="2BE14702" w:rsidR="0022697E" w:rsidRPr="001977EE" w:rsidRDefault="0022697E" w:rsidP="00B06D55">
      <w:pPr>
        <w:pStyle w:val="SM111"/>
      </w:pPr>
      <w:r w:rsidRPr="001977EE">
        <w:t xml:space="preserve">This </w:t>
      </w:r>
      <w:r w:rsidR="00166485" w:rsidRPr="001977EE">
        <w:t xml:space="preserve">Panel </w:t>
      </w:r>
      <w:r w:rsidRPr="001977EE">
        <w:t xml:space="preserve">Agreement is not accessible to </w:t>
      </w:r>
      <w:r w:rsidR="00FB4BB6" w:rsidRPr="001977EE">
        <w:t xml:space="preserve">wider public sector bodies not listed in Appendix 1 (Authorised </w:t>
      </w:r>
      <w:r w:rsidR="00615170" w:rsidRPr="001977EE">
        <w:t>Panel Customer</w:t>
      </w:r>
      <w:r w:rsidR="00FB4BB6" w:rsidRPr="001977EE">
        <w:t xml:space="preserve"> List)</w:t>
      </w:r>
      <w:r w:rsidRPr="001977EE">
        <w:t>.</w:t>
      </w:r>
    </w:p>
    <w:p w14:paraId="3F9FC085" w14:textId="77777777" w:rsidR="00FB4BB6" w:rsidRPr="001977EE" w:rsidRDefault="0071204C" w:rsidP="00B06D55">
      <w:pPr>
        <w:pStyle w:val="SM111"/>
      </w:pPr>
      <w:r w:rsidRPr="001977EE">
        <w:t>The scope of this Panel Agreement excludes</w:t>
      </w:r>
      <w:r w:rsidR="00FB4BB6" w:rsidRPr="001977EE">
        <w:t>:</w:t>
      </w:r>
      <w:r w:rsidRPr="001977EE">
        <w:t xml:space="preserve"> </w:t>
      </w:r>
    </w:p>
    <w:p w14:paraId="6EA977AB" w14:textId="6FD131C4" w:rsidR="0071204C" w:rsidRPr="001977EE" w:rsidRDefault="0071204C" w:rsidP="00B06D55">
      <w:pPr>
        <w:pStyle w:val="SM1111"/>
        <w:ind w:left="1996" w:hanging="862"/>
      </w:pPr>
      <w:r w:rsidRPr="001977EE">
        <w:t xml:space="preserve">legal advice </w:t>
      </w:r>
      <w:r w:rsidR="00FB4BB6" w:rsidRPr="001977EE">
        <w:t>regarding</w:t>
      </w:r>
      <w:r w:rsidRPr="001977EE">
        <w:t xml:space="preserve"> rail policy, rail franchises, rail competitions, and related advice</w:t>
      </w:r>
      <w:r w:rsidR="00C54A38" w:rsidRPr="001977EE">
        <w:t>;</w:t>
      </w:r>
      <w:r w:rsidR="00B06D55" w:rsidRPr="001977EE">
        <w:t xml:space="preserve"> and</w:t>
      </w:r>
    </w:p>
    <w:p w14:paraId="7BCAFC7B" w14:textId="77777777" w:rsidR="00C54A38" w:rsidRPr="001977EE" w:rsidRDefault="0071204C" w:rsidP="00B06D55">
      <w:pPr>
        <w:pStyle w:val="SM1111"/>
        <w:ind w:left="1996" w:hanging="862"/>
      </w:pPr>
      <w:r w:rsidRPr="001977EE">
        <w:t xml:space="preserve">complex finance, capital markets and </w:t>
      </w:r>
      <w:r w:rsidR="00FB4BB6" w:rsidRPr="001977EE">
        <w:t xml:space="preserve">financial </w:t>
      </w:r>
      <w:r w:rsidR="00C54A38" w:rsidRPr="001977EE">
        <w:t>regulation work</w:t>
      </w:r>
    </w:p>
    <w:p w14:paraId="3544F797" w14:textId="77777777" w:rsidR="0071204C" w:rsidRPr="001977EE" w:rsidRDefault="00C54A38" w:rsidP="00B06D55">
      <w:pPr>
        <w:pStyle w:val="SM1111"/>
        <w:numPr>
          <w:ilvl w:val="0"/>
          <w:numId w:val="0"/>
        </w:numPr>
        <w:ind w:left="1996"/>
      </w:pPr>
      <w:r w:rsidRPr="001977EE">
        <w:t xml:space="preserve">This work is expected to be sourced via separate legal panel arrangements. </w:t>
      </w:r>
      <w:r w:rsidR="0071204C" w:rsidRPr="001977EE">
        <w:t xml:space="preserve"> </w:t>
      </w:r>
    </w:p>
    <w:p w14:paraId="4762F9B6" w14:textId="798EEEB7" w:rsidR="000E5B8C" w:rsidRPr="001977EE" w:rsidRDefault="00827E68" w:rsidP="00B06D55">
      <w:pPr>
        <w:pStyle w:val="SM11"/>
        <w:ind w:left="578" w:hanging="578"/>
      </w:pPr>
      <w:r w:rsidRPr="001977EE">
        <w:t>Th</w:t>
      </w:r>
      <w:r w:rsidR="00FB4BB6" w:rsidRPr="001977EE">
        <w:t>e Authority expects th</w:t>
      </w:r>
      <w:r w:rsidRPr="001977EE">
        <w:t xml:space="preserve">is </w:t>
      </w:r>
      <w:r w:rsidR="003554A9" w:rsidRPr="001977EE">
        <w:t>Panel</w:t>
      </w:r>
      <w:r w:rsidRPr="001977EE">
        <w:t xml:space="preserve"> Agreement </w:t>
      </w:r>
      <w:r w:rsidR="00FB4BB6" w:rsidRPr="001977EE">
        <w:t xml:space="preserve">to </w:t>
      </w:r>
      <w:r w:rsidRPr="001977EE">
        <w:t>cover the majority of project work</w:t>
      </w:r>
      <w:r w:rsidR="00FB4BB6" w:rsidRPr="001977EE">
        <w:t xml:space="preserve"> undertaken by Panel </w:t>
      </w:r>
      <w:r w:rsidR="00615170" w:rsidRPr="001977EE">
        <w:t>Customer</w:t>
      </w:r>
      <w:r w:rsidR="00FB4BB6" w:rsidRPr="001977EE">
        <w:t>s during the Panel Period.</w:t>
      </w:r>
      <w:r w:rsidRPr="001977EE">
        <w:t xml:space="preserve"> </w:t>
      </w:r>
      <w:r w:rsidR="00FB4BB6" w:rsidRPr="001977EE">
        <w:t>H</w:t>
      </w:r>
      <w:r w:rsidR="0009209C" w:rsidRPr="001977EE">
        <w:t>owever</w:t>
      </w:r>
      <w:r w:rsidR="00FB4BB6" w:rsidRPr="001977EE">
        <w:t>,</w:t>
      </w:r>
      <w:r w:rsidR="0009209C" w:rsidRPr="001977EE">
        <w:t xml:space="preserve"> </w:t>
      </w:r>
      <w:r w:rsidRPr="001977EE">
        <w:t xml:space="preserve">exceptionally complex, innovative and/or strategically important major projects for </w:t>
      </w:r>
      <w:r w:rsidR="005A1F6A" w:rsidRPr="001977EE">
        <w:t xml:space="preserve">the Authority and </w:t>
      </w:r>
      <w:r w:rsidR="00FB4BB6" w:rsidRPr="001977EE">
        <w:t xml:space="preserve">Panel </w:t>
      </w:r>
      <w:r w:rsidR="00615170" w:rsidRPr="001977EE">
        <w:t>Customer</w:t>
      </w:r>
      <w:r w:rsidR="00FB4BB6" w:rsidRPr="001977EE">
        <w:t>s</w:t>
      </w:r>
      <w:r w:rsidRPr="001977EE">
        <w:t xml:space="preserve"> </w:t>
      </w:r>
      <w:r w:rsidR="00204153" w:rsidRPr="001977EE">
        <w:t xml:space="preserve">may </w:t>
      </w:r>
      <w:r w:rsidRPr="001977EE">
        <w:t xml:space="preserve">be </w:t>
      </w:r>
      <w:r w:rsidR="00705D5A" w:rsidRPr="001977EE">
        <w:t>covered</w:t>
      </w:r>
      <w:r w:rsidRPr="001977EE">
        <w:t xml:space="preserve"> </w:t>
      </w:r>
      <w:r w:rsidR="004C53B9" w:rsidRPr="001977EE">
        <w:t xml:space="preserve">under </w:t>
      </w:r>
      <w:r w:rsidR="00FB4BB6" w:rsidRPr="001977EE">
        <w:t>a different panel arrangement</w:t>
      </w:r>
      <w:r w:rsidR="00FF402F" w:rsidRPr="001977EE">
        <w:t>.</w:t>
      </w:r>
      <w:r w:rsidR="002436AF" w:rsidRPr="001977EE" w:rsidDel="002436AF">
        <w:t xml:space="preserve"> </w:t>
      </w:r>
    </w:p>
    <w:p w14:paraId="6C4C4641" w14:textId="41AFFD63" w:rsidR="00CC5B76" w:rsidRPr="001977EE" w:rsidRDefault="00DC3139" w:rsidP="00921989">
      <w:pPr>
        <w:pStyle w:val="SM1"/>
        <w:ind w:left="0"/>
      </w:pPr>
      <w:r w:rsidRPr="001977EE">
        <w:t xml:space="preserve">MANDATORY </w:t>
      </w:r>
      <w:r w:rsidR="000D42B2" w:rsidRPr="001977EE">
        <w:t>PANEL SERVICES</w:t>
      </w:r>
      <w:r w:rsidR="00CC5B76" w:rsidRPr="001977EE">
        <w:t xml:space="preserve"> </w:t>
      </w:r>
    </w:p>
    <w:p w14:paraId="61AA5FD6" w14:textId="77777777" w:rsidR="00CC5B76" w:rsidRPr="001977EE" w:rsidRDefault="00CC5B76" w:rsidP="00CC5B76">
      <w:pPr>
        <w:pStyle w:val="ListParagraph"/>
        <w:numPr>
          <w:ilvl w:val="0"/>
          <w:numId w:val="3"/>
        </w:numPr>
        <w:spacing w:before="120" w:after="0" w:line="240" w:lineRule="auto"/>
        <w:contextualSpacing w:val="0"/>
        <w:jc w:val="both"/>
        <w:rPr>
          <w:vanish/>
        </w:rPr>
      </w:pPr>
    </w:p>
    <w:p w14:paraId="541DC2FD" w14:textId="6859148F" w:rsidR="009E16BA" w:rsidRPr="001977EE" w:rsidRDefault="003341C4" w:rsidP="000D42B2">
      <w:pPr>
        <w:pStyle w:val="SM11"/>
        <w:ind w:left="578" w:hanging="578"/>
        <w:rPr>
          <w:rFonts w:cs="Arial"/>
        </w:rPr>
      </w:pPr>
      <w:r w:rsidRPr="001977EE">
        <w:rPr>
          <w:rFonts w:cs="Arial"/>
        </w:rPr>
        <w:t xml:space="preserve">This </w:t>
      </w:r>
      <w:r w:rsidR="00212905" w:rsidRPr="001977EE">
        <w:rPr>
          <w:rFonts w:cs="Arial"/>
        </w:rPr>
        <w:t xml:space="preserve">section </w:t>
      </w:r>
      <w:r w:rsidR="001323A4" w:rsidRPr="001977EE">
        <w:rPr>
          <w:rFonts w:cs="Arial"/>
        </w:rPr>
        <w:t xml:space="preserve">sets out the Mandatory Panel </w:t>
      </w:r>
      <w:r w:rsidR="009E16BA" w:rsidRPr="001977EE">
        <w:rPr>
          <w:rFonts w:cs="Arial"/>
        </w:rPr>
        <w:t>S</w:t>
      </w:r>
      <w:r w:rsidR="000538AA" w:rsidRPr="001977EE">
        <w:rPr>
          <w:rFonts w:cs="Arial"/>
        </w:rPr>
        <w:t>ervice</w:t>
      </w:r>
      <w:r w:rsidR="001323A4" w:rsidRPr="001977EE">
        <w:rPr>
          <w:rFonts w:cs="Arial"/>
        </w:rPr>
        <w:t>s</w:t>
      </w:r>
      <w:r w:rsidR="000538AA" w:rsidRPr="001977EE">
        <w:rPr>
          <w:rFonts w:cs="Arial"/>
        </w:rPr>
        <w:t xml:space="preserve"> </w:t>
      </w:r>
      <w:r w:rsidRPr="001977EE">
        <w:rPr>
          <w:rFonts w:cs="Arial"/>
        </w:rPr>
        <w:t>that</w:t>
      </w:r>
      <w:r w:rsidR="007D6C02" w:rsidRPr="001977EE">
        <w:rPr>
          <w:rFonts w:cs="Arial"/>
        </w:rPr>
        <w:t xml:space="preserve"> the Supplier is required</w:t>
      </w:r>
      <w:r w:rsidRPr="001977EE">
        <w:rPr>
          <w:rFonts w:cs="Arial"/>
        </w:rPr>
        <w:t xml:space="preserve"> </w:t>
      </w:r>
      <w:r w:rsidR="001323A4" w:rsidRPr="001977EE">
        <w:rPr>
          <w:rFonts w:cs="Arial"/>
        </w:rPr>
        <w:t xml:space="preserve">to make available to </w:t>
      </w:r>
      <w:r w:rsidR="00643192" w:rsidRPr="001977EE">
        <w:rPr>
          <w:rFonts w:cs="Arial"/>
        </w:rPr>
        <w:t xml:space="preserve">Panel </w:t>
      </w:r>
      <w:r w:rsidR="00615170" w:rsidRPr="001977EE">
        <w:rPr>
          <w:rFonts w:cs="Arial"/>
        </w:rPr>
        <w:t>Customer</w:t>
      </w:r>
      <w:r w:rsidR="001323A4" w:rsidRPr="001977EE">
        <w:rPr>
          <w:rFonts w:cs="Arial"/>
        </w:rPr>
        <w:t>s as a condition of</w:t>
      </w:r>
      <w:r w:rsidRPr="001977EE">
        <w:rPr>
          <w:rFonts w:cs="Arial"/>
        </w:rPr>
        <w:t xml:space="preserve"> this </w:t>
      </w:r>
      <w:r w:rsidR="003554A9" w:rsidRPr="001977EE">
        <w:rPr>
          <w:rFonts w:cs="Arial"/>
        </w:rPr>
        <w:t>Panel</w:t>
      </w:r>
      <w:r w:rsidR="00DD0F78" w:rsidRPr="001977EE">
        <w:rPr>
          <w:rFonts w:cs="Arial"/>
        </w:rPr>
        <w:t xml:space="preserve"> Agreement</w:t>
      </w:r>
      <w:r w:rsidRPr="001977EE">
        <w:rPr>
          <w:rFonts w:cs="Arial"/>
        </w:rPr>
        <w:t xml:space="preserve">. </w:t>
      </w:r>
      <w:r w:rsidR="00933BBA" w:rsidRPr="001977EE">
        <w:rPr>
          <w:rFonts w:cs="Arial"/>
        </w:rPr>
        <w:t>T</w:t>
      </w:r>
      <w:r w:rsidR="003F5849" w:rsidRPr="001977EE">
        <w:rPr>
          <w:rFonts w:cs="Arial"/>
        </w:rPr>
        <w:t>he Supplier shall maintain the ability to provide the</w:t>
      </w:r>
      <w:r w:rsidR="001323A4" w:rsidRPr="001977EE">
        <w:rPr>
          <w:rFonts w:cs="Arial"/>
        </w:rPr>
        <w:t xml:space="preserve"> whole range of</w:t>
      </w:r>
      <w:r w:rsidR="003F5849" w:rsidRPr="001977EE">
        <w:rPr>
          <w:rFonts w:cs="Arial"/>
        </w:rPr>
        <w:t xml:space="preserve"> Mandatory Panel Services </w:t>
      </w:r>
      <w:r w:rsidR="008F0652" w:rsidRPr="001977EE">
        <w:rPr>
          <w:rFonts w:cs="Arial"/>
        </w:rPr>
        <w:t>during the Panel Period</w:t>
      </w:r>
      <w:r w:rsidR="00933BBA" w:rsidRPr="001977EE">
        <w:rPr>
          <w:rFonts w:cs="Arial"/>
        </w:rPr>
        <w:t xml:space="preserve"> and, subject to paragraph 3.</w:t>
      </w:r>
      <w:r w:rsidR="00323857" w:rsidRPr="001977EE">
        <w:rPr>
          <w:rFonts w:cs="Arial"/>
        </w:rPr>
        <w:t>2</w:t>
      </w:r>
      <w:r w:rsidR="00CB2BDB" w:rsidRPr="001977EE">
        <w:rPr>
          <w:rFonts w:cs="Arial"/>
        </w:rPr>
        <w:t xml:space="preserve"> (Obligation to accept Orders)</w:t>
      </w:r>
      <w:r w:rsidR="00EE01C7" w:rsidRPr="001977EE">
        <w:rPr>
          <w:rFonts w:cs="Arial"/>
        </w:rPr>
        <w:t xml:space="preserve"> and paragraph 3.</w:t>
      </w:r>
      <w:r w:rsidR="00323857" w:rsidRPr="001977EE">
        <w:rPr>
          <w:rFonts w:cs="Arial"/>
        </w:rPr>
        <w:t>3</w:t>
      </w:r>
      <w:r w:rsidR="00EE01C7" w:rsidRPr="001977EE">
        <w:rPr>
          <w:rFonts w:cs="Arial"/>
        </w:rPr>
        <w:t xml:space="preserve"> (Notification of inability to accept Orders)</w:t>
      </w:r>
      <w:r w:rsidR="00933BBA" w:rsidRPr="001977EE">
        <w:rPr>
          <w:rFonts w:cs="Arial"/>
        </w:rPr>
        <w:t>, shall</w:t>
      </w:r>
      <w:r w:rsidR="0008757A" w:rsidRPr="001977EE">
        <w:rPr>
          <w:rFonts w:cs="Arial"/>
        </w:rPr>
        <w:t xml:space="preserve"> accept all Orders from </w:t>
      </w:r>
      <w:r w:rsidR="000D42B2" w:rsidRPr="001977EE">
        <w:rPr>
          <w:rFonts w:cs="Arial"/>
        </w:rPr>
        <w:t xml:space="preserve">Panel </w:t>
      </w:r>
      <w:r w:rsidR="00615170" w:rsidRPr="001977EE">
        <w:rPr>
          <w:rFonts w:cs="Arial"/>
        </w:rPr>
        <w:t>Customer</w:t>
      </w:r>
      <w:r w:rsidR="0008757A" w:rsidRPr="001977EE">
        <w:rPr>
          <w:rFonts w:cs="Arial"/>
        </w:rPr>
        <w:t>s which fall within the scope of the Mandatory Panel Services</w:t>
      </w:r>
      <w:r w:rsidR="00CB2BDB" w:rsidRPr="001977EE">
        <w:rPr>
          <w:rFonts w:cs="Arial"/>
        </w:rPr>
        <w:t>,</w:t>
      </w:r>
      <w:r w:rsidR="0008757A" w:rsidRPr="001977EE">
        <w:rPr>
          <w:rFonts w:cs="Arial"/>
        </w:rPr>
        <w:t xml:space="preserve"> provided that the relevant </w:t>
      </w:r>
      <w:r w:rsidR="000D42B2" w:rsidRPr="001977EE">
        <w:rPr>
          <w:rFonts w:cs="Arial"/>
        </w:rPr>
        <w:t xml:space="preserve">Panel </w:t>
      </w:r>
      <w:r w:rsidR="00615170" w:rsidRPr="001977EE">
        <w:rPr>
          <w:rFonts w:cs="Arial"/>
        </w:rPr>
        <w:t>Customer</w:t>
      </w:r>
      <w:r w:rsidR="0008757A" w:rsidRPr="001977EE">
        <w:rPr>
          <w:rFonts w:cs="Arial"/>
        </w:rPr>
        <w:t xml:space="preserve"> complies with the applicable requirements of this Panel Agreement in respect of such Order(s)</w:t>
      </w:r>
      <w:r w:rsidR="001323A4" w:rsidRPr="001977EE">
        <w:rPr>
          <w:rFonts w:cs="Arial"/>
        </w:rPr>
        <w:t>.</w:t>
      </w:r>
    </w:p>
    <w:p w14:paraId="14CE44A5" w14:textId="520668BE" w:rsidR="00942316" w:rsidRPr="001977EE" w:rsidRDefault="001323A4" w:rsidP="00CC5B76">
      <w:pPr>
        <w:pStyle w:val="Style111"/>
      </w:pPr>
      <w:r w:rsidRPr="001977EE">
        <w:lastRenderedPageBreak/>
        <w:t>T</w:t>
      </w:r>
      <w:r w:rsidR="00B121B1" w:rsidRPr="001977EE">
        <w:t xml:space="preserve">he </w:t>
      </w:r>
      <w:r w:rsidRPr="001977EE">
        <w:t xml:space="preserve">Mandatory </w:t>
      </w:r>
      <w:r w:rsidR="000D42B2" w:rsidRPr="001977EE">
        <w:t>Specialisms</w:t>
      </w:r>
      <w:r w:rsidR="00B121B1" w:rsidRPr="001977EE">
        <w:t xml:space="preserve"> listed in </w:t>
      </w:r>
      <w:r w:rsidR="007D6C02" w:rsidRPr="001977EE">
        <w:t xml:space="preserve">Appendix </w:t>
      </w:r>
      <w:r w:rsidR="00801187" w:rsidRPr="001977EE">
        <w:t>2 (</w:t>
      </w:r>
      <w:r w:rsidRPr="001977EE">
        <w:t xml:space="preserve">Mandatory </w:t>
      </w:r>
      <w:r w:rsidR="00323857" w:rsidRPr="001977EE">
        <w:t>Specialisms</w:t>
      </w:r>
      <w:r w:rsidRPr="001977EE">
        <w:t xml:space="preserve">) </w:t>
      </w:r>
      <w:r w:rsidR="00B121B1" w:rsidRPr="001977EE">
        <w:t xml:space="preserve">are </w:t>
      </w:r>
      <w:r w:rsidR="009A0D25" w:rsidRPr="001977EE">
        <w:t xml:space="preserve">high level descriptions of types of legal services and areas of legal practice which the Supplier offers </w:t>
      </w:r>
      <w:r w:rsidR="007D6C02" w:rsidRPr="001977EE">
        <w:t xml:space="preserve">under this Panel </w:t>
      </w:r>
      <w:r w:rsidR="00801187" w:rsidRPr="001977EE">
        <w:t>Agreement and</w:t>
      </w:r>
      <w:r w:rsidR="009A0D25" w:rsidRPr="001977EE">
        <w:t xml:space="preserve"> which </w:t>
      </w:r>
      <w:r w:rsidR="00615170" w:rsidRPr="001977EE">
        <w:t>Panel Customer</w:t>
      </w:r>
      <w:r w:rsidR="009A0D25" w:rsidRPr="001977EE">
        <w:t>s are entitled to Order</w:t>
      </w:r>
      <w:r w:rsidR="00773311" w:rsidRPr="001977EE">
        <w:t xml:space="preserve">. </w:t>
      </w:r>
      <w:r w:rsidR="00643192" w:rsidRPr="001977EE">
        <w:t xml:space="preserve">  </w:t>
      </w:r>
    </w:p>
    <w:p w14:paraId="482C3486" w14:textId="176BB00F" w:rsidR="00FF402F" w:rsidRPr="001977EE" w:rsidRDefault="00643192" w:rsidP="00CC5B76">
      <w:pPr>
        <w:pStyle w:val="Style111"/>
      </w:pPr>
      <w:r w:rsidRPr="001977EE">
        <w:t xml:space="preserve">The Supplier acknowledges and agrees that the descriptions of the types of legal services and areas of legal practice set out beneath the headings for each </w:t>
      </w:r>
      <w:r w:rsidR="00A64EF9" w:rsidRPr="001977EE">
        <w:t>Panel S</w:t>
      </w:r>
      <w:r w:rsidR="008F4E93" w:rsidRPr="001977EE">
        <w:t xml:space="preserve">ervice </w:t>
      </w:r>
      <w:r w:rsidRPr="001977EE">
        <w:t xml:space="preserve">category in </w:t>
      </w:r>
      <w:r w:rsidR="00942316" w:rsidRPr="001977EE">
        <w:t xml:space="preserve">Appendix </w:t>
      </w:r>
      <w:r w:rsidR="00801187" w:rsidRPr="001977EE">
        <w:t xml:space="preserve">3 </w:t>
      </w:r>
      <w:r w:rsidR="00323857" w:rsidRPr="001977EE">
        <w:t xml:space="preserve">(Optional Specialisms) </w:t>
      </w:r>
      <w:r w:rsidR="00801187" w:rsidRPr="001977EE">
        <w:t>are</w:t>
      </w:r>
      <w:r w:rsidRPr="001977EE">
        <w:t xml:space="preserve"> illustrative only and are not exhaustive. Panel </w:t>
      </w:r>
      <w:r w:rsidR="00615170" w:rsidRPr="001977EE">
        <w:t>Customer</w:t>
      </w:r>
      <w:r w:rsidRPr="001977EE">
        <w:t xml:space="preserve">s are entitled to seek advice from the Supplier in respect of any type of legal service or area of legal practice, provided that such advice falls within the scope of </w:t>
      </w:r>
      <w:r w:rsidR="008F4E93" w:rsidRPr="001977EE">
        <w:t xml:space="preserve">one of </w:t>
      </w:r>
      <w:r w:rsidRPr="001977EE">
        <w:t>the heading</w:t>
      </w:r>
      <w:r w:rsidR="008F4E93" w:rsidRPr="001977EE">
        <w:t xml:space="preserve">s set out at </w:t>
      </w:r>
      <w:r w:rsidR="00942316" w:rsidRPr="001977EE">
        <w:t xml:space="preserve">Appendix </w:t>
      </w:r>
      <w:r w:rsidR="00801187" w:rsidRPr="001977EE">
        <w:t>3</w:t>
      </w:r>
      <w:r w:rsidR="00323857" w:rsidRPr="001977EE">
        <w:t xml:space="preserve"> (Optional Specialisms)</w:t>
      </w:r>
      <w:r w:rsidR="00801187" w:rsidRPr="001977EE">
        <w:t>,</w:t>
      </w:r>
      <w:r w:rsidRPr="001977EE">
        <w:t xml:space="preserve"> and whether or not </w:t>
      </w:r>
      <w:r w:rsidR="008F4E93" w:rsidRPr="001977EE">
        <w:t>the type of legal service or area of legal practice sought</w:t>
      </w:r>
      <w:r w:rsidRPr="001977EE">
        <w:t xml:space="preserve"> is specifically described or listed beneath the relevant heading.</w:t>
      </w:r>
    </w:p>
    <w:p w14:paraId="731F4300" w14:textId="77777777" w:rsidR="001D7D40" w:rsidRPr="001977EE" w:rsidRDefault="00440A73" w:rsidP="00CC5B76">
      <w:pPr>
        <w:pStyle w:val="SM11"/>
        <w:rPr>
          <w:b/>
        </w:rPr>
      </w:pPr>
      <w:r w:rsidRPr="001977EE">
        <w:rPr>
          <w:b/>
        </w:rPr>
        <w:t>Obligation to accept Orders</w:t>
      </w:r>
    </w:p>
    <w:p w14:paraId="615DDD66" w14:textId="266C47E0" w:rsidR="00F75BF1" w:rsidRPr="001977EE" w:rsidRDefault="00F75BF1" w:rsidP="00180A78">
      <w:pPr>
        <w:pStyle w:val="SM111"/>
      </w:pPr>
      <w:r w:rsidRPr="001977EE">
        <w:t>The Supplier shall (</w:t>
      </w:r>
      <w:proofErr w:type="spellStart"/>
      <w:r w:rsidRPr="001977EE">
        <w:t>i</w:t>
      </w:r>
      <w:proofErr w:type="spellEnd"/>
      <w:r w:rsidRPr="001977EE">
        <w:t xml:space="preserve">) accept Orders, and (ii) respond to invitations to participate in Further Competitions, for the provision of </w:t>
      </w:r>
      <w:r w:rsidR="00180A78" w:rsidRPr="001977EE">
        <w:t xml:space="preserve">Mandatory Panel Services from the Authority and/or Panel Customer(s), unless it can demonstrate that one or more of the following applies:  </w:t>
      </w:r>
    </w:p>
    <w:p w14:paraId="165AFE14" w14:textId="7FB0BDA1" w:rsidR="00950B65" w:rsidRPr="001977EE" w:rsidRDefault="00950B65" w:rsidP="00180A78">
      <w:pPr>
        <w:pStyle w:val="SM1111"/>
        <w:ind w:left="1996" w:hanging="862"/>
      </w:pPr>
      <w:r w:rsidRPr="001977EE">
        <w:t xml:space="preserve">the Supplier has a conflict of interest in relation to a proposed Order and/or the relevant </w:t>
      </w:r>
      <w:r w:rsidR="00615170" w:rsidRPr="001977EE">
        <w:t>Panel Customer</w:t>
      </w:r>
      <w:r w:rsidRPr="001977EE">
        <w:t xml:space="preserve"> which cannot be mitigated to the </w:t>
      </w:r>
      <w:r w:rsidR="00615170" w:rsidRPr="001977EE">
        <w:t>Panel Customer</w:t>
      </w:r>
      <w:r w:rsidRPr="001977EE">
        <w:t>’s satisfaction;</w:t>
      </w:r>
      <w:r w:rsidR="00886BC6" w:rsidRPr="001977EE">
        <w:t xml:space="preserve"> </w:t>
      </w:r>
    </w:p>
    <w:p w14:paraId="3BD20CF9" w14:textId="6097A3A5" w:rsidR="00950B65" w:rsidRPr="001977EE" w:rsidRDefault="00950B65" w:rsidP="00180A78">
      <w:pPr>
        <w:pStyle w:val="SM1111"/>
        <w:ind w:left="1996" w:hanging="862"/>
      </w:pPr>
      <w:r w:rsidRPr="001977EE">
        <w:t>the Supplier does not have adequate resources availabl</w:t>
      </w:r>
      <w:r w:rsidR="00886BC6" w:rsidRPr="001977EE">
        <w:t xml:space="preserve">e to properly service the Order; </w:t>
      </w:r>
    </w:p>
    <w:p w14:paraId="04487FC8" w14:textId="3E7EB3EA" w:rsidR="00ED2607" w:rsidRPr="001977EE" w:rsidRDefault="00ED2607" w:rsidP="00180A78">
      <w:pPr>
        <w:pStyle w:val="SM1111"/>
        <w:ind w:left="1996" w:hanging="862"/>
      </w:pPr>
      <w:r w:rsidRPr="001977EE">
        <w:t>the Supplier does not have the necessary specialist expertise in the types of legal services, areas of legal practice and/or industry sector specialisms required for the provision of such Mandatory Panel Services as may be requested by t</w:t>
      </w:r>
      <w:r w:rsidR="003703DD" w:rsidRPr="001977EE">
        <w:t xml:space="preserve">he Authority and/or </w:t>
      </w:r>
      <w:r w:rsidR="00615170" w:rsidRPr="001977EE">
        <w:t>Panel Customer</w:t>
      </w:r>
      <w:r w:rsidR="003703DD" w:rsidRPr="001977EE">
        <w:t>(s)</w:t>
      </w:r>
      <w:r w:rsidR="00E454FF" w:rsidRPr="001977EE">
        <w:t>;</w:t>
      </w:r>
    </w:p>
    <w:p w14:paraId="19E5A688" w14:textId="2926CE65" w:rsidR="005F44B7" w:rsidRPr="001977EE" w:rsidRDefault="005F44B7" w:rsidP="005F44B7">
      <w:pPr>
        <w:pStyle w:val="SM1111"/>
        <w:ind w:left="1996" w:hanging="862"/>
      </w:pPr>
      <w:r w:rsidRPr="001977EE">
        <w:t>the Supplier cannot complete anti-money laundering checks</w:t>
      </w:r>
      <w:r w:rsidR="00E454FF" w:rsidRPr="001977EE">
        <w:t xml:space="preserve"> satisfactorily; </w:t>
      </w:r>
    </w:p>
    <w:p w14:paraId="3ADD810E" w14:textId="3E46C249" w:rsidR="005F44B7" w:rsidRPr="001977EE" w:rsidRDefault="005F44B7" w:rsidP="005F44B7">
      <w:pPr>
        <w:pStyle w:val="SM1111"/>
        <w:ind w:left="1996" w:hanging="862"/>
      </w:pPr>
      <w:r w:rsidRPr="001977EE">
        <w:t>the Supplier believes there is a possibility of breaching sanctions</w:t>
      </w:r>
      <w:r w:rsidR="00E454FF" w:rsidRPr="001977EE">
        <w:t>; and/or</w:t>
      </w:r>
    </w:p>
    <w:p w14:paraId="648EB800" w14:textId="32FB3782" w:rsidR="005F44B7" w:rsidRPr="001977EE" w:rsidRDefault="005F44B7" w:rsidP="005F44B7">
      <w:pPr>
        <w:pStyle w:val="SM1111"/>
        <w:ind w:left="1996" w:hanging="862"/>
      </w:pPr>
      <w:proofErr w:type="gramStart"/>
      <w:r w:rsidRPr="001977EE">
        <w:t>the</w:t>
      </w:r>
      <w:proofErr w:type="gramEnd"/>
      <w:r w:rsidRPr="001977EE">
        <w:t xml:space="preserve"> Supplier is required by the SRA </w:t>
      </w:r>
      <w:r w:rsidR="00E454FF" w:rsidRPr="001977EE">
        <w:t>Code of Conduct</w:t>
      </w:r>
      <w:r w:rsidRPr="001977EE">
        <w:t xml:space="preserve"> to refuse to act.</w:t>
      </w:r>
    </w:p>
    <w:p w14:paraId="7A53A286" w14:textId="77777777" w:rsidR="00CB2BDB" w:rsidRPr="001977EE" w:rsidRDefault="00CB2BDB" w:rsidP="00921989">
      <w:pPr>
        <w:pStyle w:val="SM11"/>
        <w:rPr>
          <w:b/>
        </w:rPr>
      </w:pPr>
      <w:r w:rsidRPr="001977EE">
        <w:rPr>
          <w:b/>
        </w:rPr>
        <w:t>Notification of inability to accept Orders</w:t>
      </w:r>
    </w:p>
    <w:p w14:paraId="758EE058" w14:textId="5181B504" w:rsidR="00CB2BDB" w:rsidRPr="001977EE" w:rsidRDefault="00CB2BDB" w:rsidP="00921989">
      <w:pPr>
        <w:pStyle w:val="SM111"/>
      </w:pPr>
      <w:r w:rsidRPr="001977EE">
        <w:t>Where the Supplier is unable to accept an Order</w:t>
      </w:r>
      <w:r w:rsidR="00277A1D" w:rsidRPr="001977EE">
        <w:t xml:space="preserve"> (whether pursuant to a Direct Award or Further Competition), or to respond to an invitation to participate in a Further Competition</w:t>
      </w:r>
      <w:r w:rsidRPr="001977EE">
        <w:t xml:space="preserve"> (or becomes unable to continue t</w:t>
      </w:r>
      <w:r w:rsidR="00096B8D" w:rsidRPr="001977EE">
        <w:t>o fulfil an existing Order) due to any of the circumstances set out in paragraph 3.</w:t>
      </w:r>
      <w:r w:rsidR="004A3DEB" w:rsidRPr="001977EE">
        <w:t>2</w:t>
      </w:r>
      <w:r w:rsidR="0042678F" w:rsidRPr="001977EE">
        <w:t xml:space="preserve"> (Obligation to accept Orders) above</w:t>
      </w:r>
      <w:r w:rsidR="00096B8D" w:rsidRPr="001977EE">
        <w:t xml:space="preserve">, </w:t>
      </w:r>
      <w:r w:rsidR="004A3DEB" w:rsidRPr="001977EE">
        <w:t>the Supplier</w:t>
      </w:r>
      <w:r w:rsidR="00096B8D" w:rsidRPr="001977EE">
        <w:t xml:space="preserve"> shall notify the Authority accordingly. Any notification made under this paragraph 3.</w:t>
      </w:r>
      <w:r w:rsidR="004A3DEB" w:rsidRPr="001977EE">
        <w:t>3</w:t>
      </w:r>
      <w:r w:rsidR="00096B8D" w:rsidRPr="001977EE">
        <w:t xml:space="preserve"> (Notification of inability to accept Orders) is without prejudice to the Supplier’s obligations under paragraph 3.</w:t>
      </w:r>
      <w:r w:rsidR="004A3DEB" w:rsidRPr="001977EE">
        <w:t>4</w:t>
      </w:r>
      <w:r w:rsidR="00096B8D" w:rsidRPr="001977EE">
        <w:t xml:space="preserve"> and the Authority’s rights in respect of such obligations.</w:t>
      </w:r>
    </w:p>
    <w:p w14:paraId="05417EF1" w14:textId="1E702CA7" w:rsidR="005F4F58" w:rsidRPr="001977EE" w:rsidRDefault="00096B8D" w:rsidP="00921989">
      <w:pPr>
        <w:pStyle w:val="SM11"/>
        <w:rPr>
          <w:b/>
        </w:rPr>
      </w:pPr>
      <w:r w:rsidRPr="001977EE">
        <w:rPr>
          <w:b/>
        </w:rPr>
        <w:t>Supplier’s commitment to</w:t>
      </w:r>
      <w:r w:rsidR="005F4F58" w:rsidRPr="001977EE">
        <w:rPr>
          <w:b/>
        </w:rPr>
        <w:t xml:space="preserve"> the </w:t>
      </w:r>
      <w:r w:rsidR="00121917" w:rsidRPr="001977EE">
        <w:rPr>
          <w:b/>
        </w:rPr>
        <w:t>Panel</w:t>
      </w:r>
    </w:p>
    <w:p w14:paraId="3CAF977A" w14:textId="54508BF6" w:rsidR="00433E1B" w:rsidRPr="001977EE" w:rsidRDefault="004A3DEB" w:rsidP="00921989">
      <w:pPr>
        <w:pStyle w:val="SM111"/>
      </w:pPr>
      <w:r w:rsidRPr="001977EE">
        <w:t xml:space="preserve">The </w:t>
      </w:r>
      <w:r w:rsidR="0081391D" w:rsidRPr="001977EE">
        <w:t xml:space="preserve">Supplier </w:t>
      </w:r>
      <w:r w:rsidR="005F4F58" w:rsidRPr="001977EE">
        <w:t>shall maintain</w:t>
      </w:r>
      <w:r w:rsidR="0071204C" w:rsidRPr="001977EE">
        <w:t xml:space="preserve"> a </w:t>
      </w:r>
      <w:r w:rsidR="006E2C2F" w:rsidRPr="001977EE">
        <w:t>commitment</w:t>
      </w:r>
      <w:r w:rsidR="00AA5B87" w:rsidRPr="001977EE">
        <w:t xml:space="preserve"> </w:t>
      </w:r>
      <w:r w:rsidR="0081391D" w:rsidRPr="001977EE">
        <w:t xml:space="preserve">to Central Government legal work </w:t>
      </w:r>
      <w:r w:rsidR="005F4F58" w:rsidRPr="001977EE">
        <w:t xml:space="preserve">and to the </w:t>
      </w:r>
      <w:r w:rsidR="00121917" w:rsidRPr="001977EE">
        <w:t>Panel</w:t>
      </w:r>
      <w:r w:rsidR="005F4F58" w:rsidRPr="001977EE">
        <w:t>. Such commitment requires that the Supplier</w:t>
      </w:r>
      <w:r w:rsidR="00D7606F" w:rsidRPr="001977EE">
        <w:t xml:space="preserve"> takes reasonable steps to ensure that</w:t>
      </w:r>
      <w:r w:rsidR="0081391D" w:rsidRPr="001977EE">
        <w:t xml:space="preserve"> </w:t>
      </w:r>
      <w:r w:rsidR="00D7606F" w:rsidRPr="001977EE">
        <w:t>the Supplier has, at all relevant time</w:t>
      </w:r>
      <w:r w:rsidR="00EE01C7" w:rsidRPr="001977EE">
        <w:t>s</w:t>
      </w:r>
      <w:r w:rsidR="00D7606F" w:rsidRPr="001977EE">
        <w:t xml:space="preserve"> during the Panel Period, </w:t>
      </w:r>
      <w:r w:rsidR="0081391D" w:rsidRPr="001977EE">
        <w:t xml:space="preserve">a reasonable level of resources available for </w:t>
      </w:r>
      <w:r w:rsidR="00D7606F" w:rsidRPr="001977EE">
        <w:t>servicing Orders</w:t>
      </w:r>
      <w:r w:rsidR="00AA5B87" w:rsidRPr="001977EE">
        <w:t xml:space="preserve">, </w:t>
      </w:r>
      <w:r w:rsidR="001256FE" w:rsidRPr="001977EE">
        <w:t>including</w:t>
      </w:r>
      <w:r w:rsidR="00AA5B87" w:rsidRPr="001977EE">
        <w:t xml:space="preserve"> availability of the </w:t>
      </w:r>
      <w:r w:rsidR="00C307B9" w:rsidRPr="001977EE">
        <w:t>k</w:t>
      </w:r>
      <w:r w:rsidR="00AA5B87" w:rsidRPr="001977EE">
        <w:t xml:space="preserve">ey </w:t>
      </w:r>
      <w:r w:rsidR="00C307B9" w:rsidRPr="001977EE">
        <w:t>p</w:t>
      </w:r>
      <w:r w:rsidR="00AA5B87" w:rsidRPr="001977EE">
        <w:t>ersonnel.</w:t>
      </w:r>
      <w:r w:rsidR="0081391D" w:rsidRPr="001977EE">
        <w:t xml:space="preserve">  </w:t>
      </w:r>
    </w:p>
    <w:p w14:paraId="3752F871" w14:textId="2AAE66D4" w:rsidR="00433E1B" w:rsidRPr="001977EE" w:rsidRDefault="00624BD0" w:rsidP="00921989">
      <w:pPr>
        <w:pStyle w:val="SM111"/>
      </w:pPr>
      <w:r w:rsidRPr="001977EE">
        <w:lastRenderedPageBreak/>
        <w:t xml:space="preserve">If the Supplier is unable to accept </w:t>
      </w:r>
      <w:r w:rsidR="00D7606F" w:rsidRPr="001977EE">
        <w:t xml:space="preserve">Orders </w:t>
      </w:r>
      <w:r w:rsidR="00EE01C7" w:rsidRPr="001977EE">
        <w:t>further to paragraph</w:t>
      </w:r>
      <w:r w:rsidR="006D18EE" w:rsidRPr="001977EE">
        <w:t>s</w:t>
      </w:r>
      <w:r w:rsidR="00EE01C7" w:rsidRPr="001977EE">
        <w:t xml:space="preserve"> 3.</w:t>
      </w:r>
      <w:r w:rsidR="006D18EE" w:rsidRPr="001977EE">
        <w:t>2.1.1, 3.2.1.2</w:t>
      </w:r>
      <w:r w:rsidR="00EE01C7" w:rsidRPr="001977EE">
        <w:t xml:space="preserve"> or 3.</w:t>
      </w:r>
      <w:r w:rsidR="006D18EE" w:rsidRPr="001977EE">
        <w:t>2.1.3</w:t>
      </w:r>
      <w:r w:rsidR="00EE01C7" w:rsidRPr="001977EE">
        <w:t xml:space="preserve"> persistently or </w:t>
      </w:r>
      <w:r w:rsidRPr="001977EE">
        <w:t xml:space="preserve">to an unreasonable extent </w:t>
      </w:r>
      <w:r w:rsidR="00B10E6E" w:rsidRPr="001977EE">
        <w:t>(</w:t>
      </w:r>
      <w:r w:rsidRPr="001977EE">
        <w:t>taking into account the resources available to it</w:t>
      </w:r>
      <w:r w:rsidR="00B10E6E" w:rsidRPr="001977EE">
        <w:t>)</w:t>
      </w:r>
      <w:r w:rsidRPr="001977EE">
        <w:t xml:space="preserve">, then this may lead to the Supplier being suspended from the </w:t>
      </w:r>
      <w:r w:rsidR="00121917" w:rsidRPr="001977EE">
        <w:t>Panel</w:t>
      </w:r>
      <w:r w:rsidRPr="001977EE">
        <w:t xml:space="preserve"> or termination of this Panel Agreement</w:t>
      </w:r>
      <w:r w:rsidR="00506002" w:rsidRPr="001977EE">
        <w:t xml:space="preserve"> by the Authority</w:t>
      </w:r>
      <w:r w:rsidRPr="001977EE">
        <w:t xml:space="preserve">. </w:t>
      </w:r>
    </w:p>
    <w:p w14:paraId="0511C7B8" w14:textId="4602BD83" w:rsidR="00427428" w:rsidRPr="001977EE" w:rsidRDefault="00427428" w:rsidP="00921989">
      <w:pPr>
        <w:pStyle w:val="SM11"/>
        <w:rPr>
          <w:b/>
        </w:rPr>
      </w:pPr>
      <w:r w:rsidRPr="001977EE">
        <w:rPr>
          <w:b/>
        </w:rPr>
        <w:t>Panel Services Requirements</w:t>
      </w:r>
    </w:p>
    <w:p w14:paraId="162787F5" w14:textId="045FDA5A" w:rsidR="003E1E67" w:rsidRPr="001977EE" w:rsidRDefault="003E1E67" w:rsidP="00921989">
      <w:pPr>
        <w:pStyle w:val="SM111"/>
      </w:pPr>
      <w:r w:rsidRPr="001977EE">
        <w:t xml:space="preserve">The Supplier shall ensure that it (and the relevant Supplier Personnel) has or have, at all relevant times, the skills, qualifications and capability to provide legal advice </w:t>
      </w:r>
      <w:r w:rsidR="00811D48" w:rsidRPr="001977EE">
        <w:t xml:space="preserve">and support </w:t>
      </w:r>
      <w:r w:rsidRPr="001977EE">
        <w:t xml:space="preserve">to the Authority and/or the </w:t>
      </w:r>
      <w:r w:rsidR="00615170" w:rsidRPr="001977EE">
        <w:t>Panel Customer</w:t>
      </w:r>
      <w:r w:rsidRPr="001977EE">
        <w:t xml:space="preserve">(s) in relation to the types of legal services and areas of legal practice set out at Appendix 2 (Mandatory </w:t>
      </w:r>
      <w:r w:rsidR="004C792E" w:rsidRPr="001977EE">
        <w:t>Specialisms</w:t>
      </w:r>
      <w:r w:rsidRPr="001977EE">
        <w:t>).</w:t>
      </w:r>
    </w:p>
    <w:p w14:paraId="059778A1" w14:textId="7EE4D8F8" w:rsidR="003E1E67" w:rsidRPr="001977EE" w:rsidRDefault="003E1E67" w:rsidP="00921989">
      <w:pPr>
        <w:pStyle w:val="SM111"/>
      </w:pPr>
      <w:r w:rsidRPr="001977EE">
        <w:t xml:space="preserve">The Supplier shall make the Mandatory Panel Services available to </w:t>
      </w:r>
      <w:r w:rsidR="00615170" w:rsidRPr="001977EE">
        <w:t>Panel Customer</w:t>
      </w:r>
      <w:r w:rsidRPr="001977EE">
        <w:t>s to Order throughout the Panel Period, in accordance with this Panel Agreement.</w:t>
      </w:r>
    </w:p>
    <w:p w14:paraId="4DB02444" w14:textId="64628210" w:rsidR="002E5670" w:rsidRPr="001977EE" w:rsidRDefault="00CC5B76" w:rsidP="00CC5B76">
      <w:pPr>
        <w:pStyle w:val="SM11"/>
        <w:rPr>
          <w:b/>
        </w:rPr>
      </w:pPr>
      <w:r w:rsidRPr="001977EE">
        <w:rPr>
          <w:b/>
        </w:rPr>
        <w:t xml:space="preserve">Advice </w:t>
      </w:r>
      <w:r w:rsidR="00727233" w:rsidRPr="001977EE">
        <w:rPr>
          <w:b/>
        </w:rPr>
        <w:t>o</w:t>
      </w:r>
      <w:r w:rsidRPr="001977EE">
        <w:rPr>
          <w:b/>
        </w:rPr>
        <w:t>n Scottish Law</w:t>
      </w:r>
    </w:p>
    <w:p w14:paraId="796C2249" w14:textId="70C4F4D5" w:rsidR="002E5670" w:rsidRPr="001977EE" w:rsidRDefault="002E5670" w:rsidP="00CC5B76">
      <w:pPr>
        <w:pStyle w:val="Style111"/>
      </w:pPr>
      <w:r w:rsidRPr="001977EE">
        <w:t xml:space="preserve">In the event that advice is required on Scottish law, the Supplier shall agree with the </w:t>
      </w:r>
      <w:r w:rsidR="00615170" w:rsidRPr="001977EE">
        <w:t>Panel Customer</w:t>
      </w:r>
      <w:r w:rsidRPr="001977EE">
        <w:t>(s) in advance and in writing the approach to be taken in delivering the advice, which shall include but may not be limited to one</w:t>
      </w:r>
      <w:r w:rsidR="00FE0906" w:rsidRPr="001977EE">
        <w:t xml:space="preserve"> or more</w:t>
      </w:r>
      <w:r w:rsidRPr="001977EE">
        <w:t xml:space="preserve"> of the following: </w:t>
      </w:r>
    </w:p>
    <w:p w14:paraId="446C45B4" w14:textId="77777777" w:rsidR="002E5670" w:rsidRPr="001977EE" w:rsidRDefault="002E5670" w:rsidP="00727233">
      <w:pPr>
        <w:pStyle w:val="SM1111"/>
        <w:ind w:left="1996" w:hanging="862"/>
      </w:pPr>
      <w:r w:rsidRPr="001977EE">
        <w:t xml:space="preserve">if the Supplier has Supplier Personnel qualified and practising in Scottish law in the relevant specialism, the Supplier shall utilise its Supplier Personnel under the terms of this Panel Agreement; </w:t>
      </w:r>
      <w:r w:rsidR="00FE0906" w:rsidRPr="001977EE">
        <w:t>and/or</w:t>
      </w:r>
    </w:p>
    <w:p w14:paraId="0A986A30" w14:textId="73921568" w:rsidR="00727233" w:rsidRPr="001977EE" w:rsidRDefault="002E5670" w:rsidP="00727233">
      <w:pPr>
        <w:pStyle w:val="SM1111"/>
        <w:ind w:left="1996" w:hanging="862"/>
      </w:pPr>
      <w:r w:rsidRPr="001977EE">
        <w:t xml:space="preserve">the </w:t>
      </w:r>
      <w:r w:rsidR="00615170" w:rsidRPr="001977EE">
        <w:t>Panel Customer</w:t>
      </w:r>
      <w:r w:rsidRPr="001977EE">
        <w:t>(s) will appoint a firm off the Scottish Government Panel</w:t>
      </w:r>
      <w:r w:rsidR="00C2378D" w:rsidRPr="001977EE">
        <w:t xml:space="preserve"> </w:t>
      </w:r>
      <w:r w:rsidR="00727233" w:rsidRPr="001977EE">
        <w:t xml:space="preserve">to work with the Supplier </w:t>
      </w:r>
    </w:p>
    <w:p w14:paraId="08BAD58C" w14:textId="3130996E" w:rsidR="002E5670" w:rsidRPr="001977EE" w:rsidRDefault="00DB2320" w:rsidP="00727233">
      <w:pPr>
        <w:pStyle w:val="SM1111"/>
        <w:numPr>
          <w:ilvl w:val="0"/>
          <w:numId w:val="0"/>
        </w:numPr>
        <w:ind w:left="1996"/>
      </w:pPr>
      <w:hyperlink r:id="rId9" w:history="1">
        <w:r w:rsidR="00C2378D" w:rsidRPr="001977EE">
          <w:rPr>
            <w:rStyle w:val="Hyperlink"/>
            <w:color w:val="auto"/>
          </w:rPr>
          <w:t>http://www.gov.scot/Topics/Government/Procurement/directory/pscontractcentgovt/LegalServicesFramework</w:t>
        </w:r>
      </w:hyperlink>
      <w:r w:rsidR="002E5670" w:rsidRPr="001977EE">
        <w:t xml:space="preserve">; </w:t>
      </w:r>
      <w:r w:rsidR="00FE0906" w:rsidRPr="001977EE">
        <w:t>and/</w:t>
      </w:r>
      <w:r w:rsidR="002E5670" w:rsidRPr="001977EE">
        <w:t>or</w:t>
      </w:r>
    </w:p>
    <w:p w14:paraId="029F1675" w14:textId="41CD5FC6" w:rsidR="002E5670" w:rsidRPr="001977EE" w:rsidRDefault="002E5670" w:rsidP="00727233">
      <w:pPr>
        <w:pStyle w:val="SM1111"/>
        <w:ind w:left="1996" w:hanging="862"/>
      </w:pPr>
      <w:proofErr w:type="gramStart"/>
      <w:r w:rsidRPr="001977EE">
        <w:t>the</w:t>
      </w:r>
      <w:proofErr w:type="gramEnd"/>
      <w:r w:rsidRPr="001977EE">
        <w:t xml:space="preserve"> Supplier shall</w:t>
      </w:r>
      <w:r w:rsidR="00FE0906" w:rsidRPr="001977EE">
        <w:t xml:space="preserve"> seek</w:t>
      </w:r>
      <w:r w:rsidRPr="001977EE">
        <w:t xml:space="preserve"> approval from the </w:t>
      </w:r>
      <w:r w:rsidR="00615170" w:rsidRPr="001977EE">
        <w:t>Panel Customer</w:t>
      </w:r>
      <w:r w:rsidRPr="001977EE">
        <w:t xml:space="preserve"> in advance and in writing to subcontract the provision of legal advice for Scottish law to another law firm</w:t>
      </w:r>
      <w:r w:rsidR="005B1296" w:rsidRPr="001977EE">
        <w:t xml:space="preserve"> who is suitably qualified and practising in Scottish law in the relevant specialism</w:t>
      </w:r>
      <w:r w:rsidRPr="001977EE">
        <w:t>.</w:t>
      </w:r>
    </w:p>
    <w:p w14:paraId="5E556103" w14:textId="6A257962" w:rsidR="00B85157" w:rsidRPr="001977EE" w:rsidRDefault="00CC5B76" w:rsidP="00CC5B76">
      <w:pPr>
        <w:pStyle w:val="SM11"/>
        <w:rPr>
          <w:b/>
        </w:rPr>
      </w:pPr>
      <w:r w:rsidRPr="001977EE">
        <w:rPr>
          <w:b/>
        </w:rPr>
        <w:t xml:space="preserve">Delivery Of The </w:t>
      </w:r>
      <w:r w:rsidR="009F4A9E" w:rsidRPr="001977EE">
        <w:rPr>
          <w:b/>
        </w:rPr>
        <w:t xml:space="preserve">Panel </w:t>
      </w:r>
      <w:r w:rsidRPr="001977EE">
        <w:rPr>
          <w:b/>
        </w:rPr>
        <w:t>Services</w:t>
      </w:r>
    </w:p>
    <w:p w14:paraId="0C77928D" w14:textId="6F824420" w:rsidR="00C9239D" w:rsidRPr="001977EE" w:rsidRDefault="00C9239D" w:rsidP="00CC5B76">
      <w:pPr>
        <w:pStyle w:val="SM111"/>
      </w:pPr>
      <w:r w:rsidRPr="001977EE">
        <w:t xml:space="preserve">The Supplier shall have in place </w:t>
      </w:r>
      <w:r w:rsidR="00BD68FD" w:rsidRPr="001977EE">
        <w:t xml:space="preserve">and </w:t>
      </w:r>
      <w:r w:rsidR="00727233" w:rsidRPr="001977EE">
        <w:t xml:space="preserve">shall </w:t>
      </w:r>
      <w:r w:rsidR="00BD68FD" w:rsidRPr="001977EE">
        <w:t xml:space="preserve">maintain </w:t>
      </w:r>
      <w:r w:rsidR="00B85157" w:rsidRPr="001977EE">
        <w:t xml:space="preserve">throughout the Panel Period </w:t>
      </w:r>
      <w:r w:rsidRPr="001977EE">
        <w:t xml:space="preserve">robust quality assurance and governance processes, </w:t>
      </w:r>
      <w:r w:rsidR="00727233" w:rsidRPr="001977EE">
        <w:t xml:space="preserve">and </w:t>
      </w:r>
      <w:r w:rsidR="00EA64A8" w:rsidRPr="001977EE">
        <w:t>shall act in accordance with Principle 5 of the SRA Handbook (or any successor or replacement to the same)</w:t>
      </w:r>
      <w:r w:rsidR="00727233" w:rsidRPr="001977EE">
        <w:t>.</w:t>
      </w:r>
      <w:r w:rsidR="00EA64A8" w:rsidRPr="001977EE">
        <w:t xml:space="preserve"> </w:t>
      </w:r>
    </w:p>
    <w:p w14:paraId="248A89FA" w14:textId="77777777" w:rsidR="00727233" w:rsidRPr="001977EE" w:rsidRDefault="00727233" w:rsidP="00CC5B76">
      <w:pPr>
        <w:pStyle w:val="SM111"/>
      </w:pPr>
      <w:r w:rsidRPr="001977EE">
        <w:t xml:space="preserve">The Supplier shall ensure that: </w:t>
      </w:r>
    </w:p>
    <w:p w14:paraId="623DD242" w14:textId="737C81B3" w:rsidR="003A298D" w:rsidRPr="001977EE" w:rsidRDefault="003A298D" w:rsidP="002B0231">
      <w:pPr>
        <w:pStyle w:val="SM1111"/>
        <w:ind w:left="1996" w:hanging="862"/>
      </w:pPr>
      <w:r w:rsidRPr="001977EE">
        <w:t xml:space="preserve">all </w:t>
      </w:r>
      <w:r w:rsidR="009F4A9E" w:rsidRPr="001977EE">
        <w:t xml:space="preserve">Panel </w:t>
      </w:r>
      <w:r w:rsidRPr="001977EE">
        <w:t>Services are fit for purpose</w:t>
      </w:r>
      <w:r w:rsidR="00727233" w:rsidRPr="001977EE">
        <w:t>;</w:t>
      </w:r>
    </w:p>
    <w:p w14:paraId="78B8202A" w14:textId="0A88AD89" w:rsidR="003A298D" w:rsidRPr="001977EE" w:rsidRDefault="003A298D" w:rsidP="002B0231">
      <w:pPr>
        <w:pStyle w:val="SM1111"/>
        <w:ind w:left="1996" w:hanging="862"/>
      </w:pPr>
      <w:r w:rsidRPr="001977EE">
        <w:t xml:space="preserve">where the provision of </w:t>
      </w:r>
      <w:r w:rsidR="00727233" w:rsidRPr="001977EE">
        <w:t xml:space="preserve">the </w:t>
      </w:r>
      <w:r w:rsidR="009F4A9E" w:rsidRPr="001977EE">
        <w:t xml:space="preserve">Panel </w:t>
      </w:r>
      <w:r w:rsidRPr="001977EE">
        <w:t>Services involve the drafting, review or production or modification of documentation, such documentation is technically functional; and</w:t>
      </w:r>
    </w:p>
    <w:p w14:paraId="4AB6E491" w14:textId="3C1A8FF2" w:rsidR="003A298D" w:rsidRPr="001977EE" w:rsidRDefault="003A298D" w:rsidP="002B0231">
      <w:pPr>
        <w:pStyle w:val="SM1111"/>
        <w:ind w:left="1996" w:hanging="862"/>
      </w:pPr>
      <w:proofErr w:type="gramStart"/>
      <w:r w:rsidRPr="001977EE">
        <w:t>all</w:t>
      </w:r>
      <w:proofErr w:type="gramEnd"/>
      <w:r w:rsidRPr="001977EE">
        <w:t xml:space="preserve"> </w:t>
      </w:r>
      <w:r w:rsidR="009F4A9E" w:rsidRPr="001977EE">
        <w:t xml:space="preserve">Panel </w:t>
      </w:r>
      <w:r w:rsidRPr="001977EE">
        <w:t>Services are provided to a standard no less than would be expected of</w:t>
      </w:r>
      <w:r w:rsidR="007B21F8" w:rsidRPr="001977EE">
        <w:t xml:space="preserve"> a skilled and competent provider of services broadly equivalent to the</w:t>
      </w:r>
      <w:r w:rsidR="009F4A9E" w:rsidRPr="001977EE">
        <w:t xml:space="preserve"> Panel</w:t>
      </w:r>
      <w:r w:rsidR="007B21F8" w:rsidRPr="001977EE">
        <w:t xml:space="preserve"> Services.</w:t>
      </w:r>
    </w:p>
    <w:p w14:paraId="656B6B83" w14:textId="77777777" w:rsidR="007B21F8" w:rsidRPr="001977EE" w:rsidRDefault="00C9239D" w:rsidP="00CC5B76">
      <w:pPr>
        <w:pStyle w:val="SM111"/>
      </w:pPr>
      <w:r w:rsidRPr="001977EE">
        <w:t>The Supplier shall</w:t>
      </w:r>
      <w:r w:rsidR="003B0F9D" w:rsidRPr="001977EE">
        <w:t>, at all relevant times</w:t>
      </w:r>
      <w:r w:rsidR="007B21F8" w:rsidRPr="001977EE">
        <w:t>:</w:t>
      </w:r>
    </w:p>
    <w:p w14:paraId="697E08B9" w14:textId="3FDD433F" w:rsidR="000D42B2" w:rsidRPr="001977EE" w:rsidRDefault="003B0F9D" w:rsidP="002B0231">
      <w:pPr>
        <w:pStyle w:val="SM1111"/>
        <w:ind w:left="1996" w:hanging="862"/>
      </w:pPr>
      <w:r w:rsidRPr="001977EE">
        <w:lastRenderedPageBreak/>
        <w:t xml:space="preserve">comply with </w:t>
      </w:r>
      <w:r w:rsidR="005A2849" w:rsidRPr="001977EE">
        <w:t xml:space="preserve">those </w:t>
      </w:r>
      <w:r w:rsidR="007B21F8" w:rsidRPr="001977EE">
        <w:t xml:space="preserve">generally applicable and relevant policies of the Authority and/or </w:t>
      </w:r>
      <w:r w:rsidR="002E52E2" w:rsidRPr="001977EE">
        <w:t xml:space="preserve">Panel </w:t>
      </w:r>
      <w:r w:rsidR="00615170" w:rsidRPr="001977EE">
        <w:t>Customer</w:t>
      </w:r>
      <w:r w:rsidR="007B21F8" w:rsidRPr="001977EE">
        <w:t xml:space="preserve">s </w:t>
      </w:r>
      <w:r w:rsidR="005A2849" w:rsidRPr="001977EE">
        <w:t>which have been notified to the Supplier whether at the date of the Order or otherwise</w:t>
      </w:r>
      <w:r w:rsidR="000D42B2" w:rsidRPr="001977EE">
        <w:t>; and</w:t>
      </w:r>
    </w:p>
    <w:p w14:paraId="65085C73" w14:textId="26344F91" w:rsidR="007B21F8" w:rsidRPr="001977EE" w:rsidRDefault="000D42B2" w:rsidP="002B0231">
      <w:pPr>
        <w:pStyle w:val="SM1111"/>
        <w:ind w:left="1996" w:hanging="862"/>
      </w:pPr>
      <w:r w:rsidRPr="001977EE">
        <w:t>T</w:t>
      </w:r>
      <w:r w:rsidR="003B0F9D" w:rsidRPr="001977EE">
        <w:t xml:space="preserve">he Supplier shall, before accepting an Order from a new </w:t>
      </w:r>
      <w:r w:rsidR="002E52E2" w:rsidRPr="001977EE">
        <w:t xml:space="preserve">Panel </w:t>
      </w:r>
      <w:r w:rsidR="00615170" w:rsidRPr="001977EE">
        <w:t>Customer</w:t>
      </w:r>
      <w:r w:rsidR="003B0F9D" w:rsidRPr="001977EE">
        <w:t xml:space="preserve">, request </w:t>
      </w:r>
      <w:r w:rsidR="002E52E2" w:rsidRPr="001977EE">
        <w:t xml:space="preserve">from </w:t>
      </w:r>
      <w:r w:rsidR="003B0F9D" w:rsidRPr="001977EE">
        <w:t xml:space="preserve">the </w:t>
      </w:r>
      <w:r w:rsidR="00615170" w:rsidRPr="001977EE">
        <w:t>Panel Customer</w:t>
      </w:r>
      <w:r w:rsidR="003B0F9D" w:rsidRPr="001977EE">
        <w:t xml:space="preserve"> notification of all such policies which apply</w:t>
      </w:r>
      <w:r w:rsidR="007B21F8" w:rsidRPr="001977EE">
        <w:t>; and</w:t>
      </w:r>
    </w:p>
    <w:p w14:paraId="0CCF9C25" w14:textId="3F853B6C" w:rsidR="003B0F9D" w:rsidRPr="001977EE" w:rsidRDefault="003B0F9D" w:rsidP="002B0231">
      <w:pPr>
        <w:pStyle w:val="SM1111"/>
        <w:ind w:left="1996" w:hanging="862"/>
      </w:pPr>
      <w:r w:rsidRPr="001977EE">
        <w:t>comply with any relevant specific</w:t>
      </w:r>
      <w:r w:rsidR="007B21F8" w:rsidRPr="001977EE">
        <w:t xml:space="preserve"> policies of the Authority and/or </w:t>
      </w:r>
      <w:r w:rsidR="00615170" w:rsidRPr="001977EE">
        <w:t>Panel Customer</w:t>
      </w:r>
      <w:r w:rsidR="007B21F8" w:rsidRPr="001977EE">
        <w:t xml:space="preserve">s as are notified to the Supplier </w:t>
      </w:r>
      <w:r w:rsidR="005A2849" w:rsidRPr="001977EE">
        <w:t xml:space="preserve">whether </w:t>
      </w:r>
      <w:r w:rsidR="007B21F8" w:rsidRPr="001977EE">
        <w:t>at the date of the Order</w:t>
      </w:r>
      <w:r w:rsidR="005A2849" w:rsidRPr="001977EE">
        <w:t xml:space="preserve"> or otherwise</w:t>
      </w:r>
      <w:r w:rsidR="002967AC" w:rsidRPr="001977EE">
        <w:t xml:space="preserve">, and the Supplier shall, </w:t>
      </w:r>
      <w:r w:rsidR="005A2849" w:rsidRPr="001977EE">
        <w:t xml:space="preserve">before accepting an Order from a new </w:t>
      </w:r>
      <w:r w:rsidR="00615170" w:rsidRPr="001977EE">
        <w:t>Panel Customer</w:t>
      </w:r>
      <w:r w:rsidR="002967AC" w:rsidRPr="001977EE">
        <w:t xml:space="preserve">, </w:t>
      </w:r>
      <w:r w:rsidR="005A2849" w:rsidRPr="001977EE">
        <w:t>request</w:t>
      </w:r>
      <w:r w:rsidR="002967AC" w:rsidRPr="001977EE">
        <w:t xml:space="preserve"> </w:t>
      </w:r>
      <w:r w:rsidR="002E52E2" w:rsidRPr="001977EE">
        <w:t xml:space="preserve">from </w:t>
      </w:r>
      <w:r w:rsidR="002967AC" w:rsidRPr="001977EE">
        <w:t xml:space="preserve">the </w:t>
      </w:r>
      <w:r w:rsidR="00615170" w:rsidRPr="001977EE">
        <w:t>Panel Customer</w:t>
      </w:r>
      <w:r w:rsidR="002967AC" w:rsidRPr="001977EE">
        <w:t xml:space="preserve"> </w:t>
      </w:r>
      <w:r w:rsidR="005A2849" w:rsidRPr="001977EE">
        <w:t>notification of all</w:t>
      </w:r>
      <w:r w:rsidRPr="001977EE">
        <w:t xml:space="preserve"> such policies which apply; and</w:t>
      </w:r>
    </w:p>
    <w:p w14:paraId="13A5EE4B" w14:textId="20D868DB" w:rsidR="00C9239D" w:rsidRPr="001977EE" w:rsidRDefault="00C9239D" w:rsidP="002B0231">
      <w:pPr>
        <w:pStyle w:val="SM1111"/>
        <w:ind w:left="1996" w:hanging="862"/>
      </w:pPr>
      <w:proofErr w:type="gramStart"/>
      <w:r w:rsidRPr="001977EE">
        <w:t>ensure</w:t>
      </w:r>
      <w:proofErr w:type="gramEnd"/>
      <w:r w:rsidRPr="001977EE">
        <w:t xml:space="preserve"> that </w:t>
      </w:r>
      <w:r w:rsidR="00080D8B" w:rsidRPr="001977EE">
        <w:t>it</w:t>
      </w:r>
      <w:r w:rsidR="003B0F9D" w:rsidRPr="001977EE">
        <w:t xml:space="preserve"> is (and all relevant Supplier Personnel are)</w:t>
      </w:r>
      <w:r w:rsidR="00080D8B" w:rsidRPr="001977EE">
        <w:t xml:space="preserve"> properly </w:t>
      </w:r>
      <w:r w:rsidR="003B0F9D" w:rsidRPr="001977EE">
        <w:t xml:space="preserve">and appropriately </w:t>
      </w:r>
      <w:r w:rsidRPr="001977EE">
        <w:t>appraised on current law</w:t>
      </w:r>
      <w:r w:rsidR="003B0F9D" w:rsidRPr="001977EE">
        <w:t xml:space="preserve"> and</w:t>
      </w:r>
      <w:r w:rsidRPr="001977EE">
        <w:t xml:space="preserve"> forthcoming changes </w:t>
      </w:r>
      <w:r w:rsidR="00B965CE" w:rsidRPr="001977EE">
        <w:t>to the law</w:t>
      </w:r>
      <w:r w:rsidRPr="001977EE">
        <w:t xml:space="preserve">. </w:t>
      </w:r>
    </w:p>
    <w:p w14:paraId="5FB36539" w14:textId="46E6941B" w:rsidR="00C00F57" w:rsidRPr="001977EE" w:rsidRDefault="00B965CE" w:rsidP="00695B64">
      <w:pPr>
        <w:pStyle w:val="SM111"/>
      </w:pPr>
      <w:r w:rsidRPr="001977EE">
        <w:t>O</w:t>
      </w:r>
      <w:r w:rsidR="00F02325" w:rsidRPr="001977EE">
        <w:t xml:space="preserve">n receipt of </w:t>
      </w:r>
      <w:r w:rsidR="00C00F57" w:rsidRPr="001977EE">
        <w:t xml:space="preserve">an Order </w:t>
      </w:r>
      <w:r w:rsidR="00F02325" w:rsidRPr="001977EE">
        <w:t>t</w:t>
      </w:r>
      <w:r w:rsidR="00CD0FB6" w:rsidRPr="001977EE">
        <w:t xml:space="preserve">he Supplier shall </w:t>
      </w:r>
      <w:r w:rsidR="00F02325" w:rsidRPr="001977EE">
        <w:t>take proactive steps</w:t>
      </w:r>
      <w:r w:rsidR="00C00F57" w:rsidRPr="001977EE">
        <w:t xml:space="preserve"> (in a manner and to an extent proportionate to the size and nature of the </w:t>
      </w:r>
      <w:r w:rsidR="008A04C0" w:rsidRPr="001977EE">
        <w:t>Order</w:t>
      </w:r>
      <w:r w:rsidR="00C00F57" w:rsidRPr="001977EE">
        <w:t>)</w:t>
      </w:r>
      <w:r w:rsidR="00F02325" w:rsidRPr="001977EE">
        <w:t xml:space="preserve"> to </w:t>
      </w:r>
      <w:r w:rsidR="009949F6" w:rsidRPr="001977EE">
        <w:t xml:space="preserve">plan and agree the </w:t>
      </w:r>
      <w:r w:rsidR="009F4A9E" w:rsidRPr="001977EE">
        <w:t>Ordered Panel</w:t>
      </w:r>
      <w:r w:rsidR="005F1FA7" w:rsidRPr="001977EE">
        <w:t xml:space="preserve"> </w:t>
      </w:r>
      <w:r w:rsidR="004A7534" w:rsidRPr="001977EE">
        <w:t>Services</w:t>
      </w:r>
      <w:r w:rsidR="009949F6" w:rsidRPr="001977EE">
        <w:t xml:space="preserve"> to be provided with the </w:t>
      </w:r>
      <w:r w:rsidR="005D3C66" w:rsidRPr="001977EE">
        <w:t xml:space="preserve">Panel </w:t>
      </w:r>
      <w:r w:rsidR="00615170" w:rsidRPr="001977EE">
        <w:t>Customer</w:t>
      </w:r>
      <w:r w:rsidR="009949F6" w:rsidRPr="001977EE">
        <w:t xml:space="preserve"> to clarify and document</w:t>
      </w:r>
      <w:r w:rsidR="00C00F57" w:rsidRPr="001977EE">
        <w:t>:</w:t>
      </w:r>
      <w:r w:rsidR="009949F6" w:rsidRPr="001977EE">
        <w:t xml:space="preserve"> </w:t>
      </w:r>
    </w:p>
    <w:p w14:paraId="003F1B78" w14:textId="77777777" w:rsidR="00C00F57" w:rsidRPr="001977EE" w:rsidRDefault="009949F6" w:rsidP="002B0231">
      <w:pPr>
        <w:pStyle w:val="SM1111"/>
        <w:ind w:left="1996" w:hanging="862"/>
      </w:pPr>
      <w:r w:rsidRPr="001977EE">
        <w:t>the legal advice required</w:t>
      </w:r>
      <w:r w:rsidR="00C00F57" w:rsidRPr="001977EE">
        <w:t>;</w:t>
      </w:r>
      <w:r w:rsidR="00C9239D" w:rsidRPr="001977EE">
        <w:t xml:space="preserve"> </w:t>
      </w:r>
    </w:p>
    <w:p w14:paraId="100D8351" w14:textId="77777777" w:rsidR="00C00F57" w:rsidRPr="001977EE" w:rsidRDefault="009949F6" w:rsidP="002B0231">
      <w:pPr>
        <w:pStyle w:val="SM1111"/>
        <w:ind w:left="1996" w:hanging="862"/>
      </w:pPr>
      <w:r w:rsidRPr="001977EE">
        <w:t xml:space="preserve">how legal input </w:t>
      </w:r>
      <w:r w:rsidR="00C00F57" w:rsidRPr="001977EE">
        <w:t xml:space="preserve">will </w:t>
      </w:r>
      <w:r w:rsidRPr="001977EE">
        <w:t>be structured to minimise costs and maximise efficiency</w:t>
      </w:r>
      <w:r w:rsidR="00C00F57" w:rsidRPr="001977EE">
        <w:t>;</w:t>
      </w:r>
    </w:p>
    <w:p w14:paraId="71738128" w14:textId="0DCC49F4" w:rsidR="00C00F57" w:rsidRPr="001977EE" w:rsidRDefault="009949F6" w:rsidP="002B0231">
      <w:pPr>
        <w:pStyle w:val="SM1111"/>
        <w:ind w:left="1996" w:hanging="862"/>
      </w:pPr>
      <w:r w:rsidRPr="001977EE">
        <w:t xml:space="preserve">how work previously undertaken for </w:t>
      </w:r>
      <w:r w:rsidR="00121917" w:rsidRPr="001977EE">
        <w:t>c</w:t>
      </w:r>
      <w:r w:rsidRPr="001977EE">
        <w:t>entral Government can be re-used to reduce cost</w:t>
      </w:r>
      <w:r w:rsidR="00C00F57" w:rsidRPr="001977EE">
        <w:t>;</w:t>
      </w:r>
    </w:p>
    <w:p w14:paraId="772ED5B8" w14:textId="7C94576D" w:rsidR="00C00F57" w:rsidRPr="001977EE" w:rsidRDefault="009949F6" w:rsidP="002B0231">
      <w:pPr>
        <w:pStyle w:val="SM1111"/>
        <w:ind w:left="1996" w:hanging="862"/>
      </w:pPr>
      <w:r w:rsidRPr="001977EE">
        <w:t>the level</w:t>
      </w:r>
      <w:r w:rsidR="00C00F57" w:rsidRPr="001977EE">
        <w:t>s</w:t>
      </w:r>
      <w:r w:rsidRPr="001977EE">
        <w:t xml:space="preserve"> and names of </w:t>
      </w:r>
      <w:r w:rsidR="008C7534" w:rsidRPr="001977EE">
        <w:t>k</w:t>
      </w:r>
      <w:r w:rsidR="00CB0123" w:rsidRPr="001977EE">
        <w:t xml:space="preserve">ey </w:t>
      </w:r>
      <w:r w:rsidR="008C7534" w:rsidRPr="001977EE">
        <w:t>p</w:t>
      </w:r>
      <w:r w:rsidR="00CB0123" w:rsidRPr="001977EE">
        <w:t xml:space="preserve">ersonnel and </w:t>
      </w:r>
      <w:r w:rsidRPr="001977EE">
        <w:t xml:space="preserve">lawyers working on </w:t>
      </w:r>
      <w:r w:rsidR="001F02AC" w:rsidRPr="001977EE">
        <w:t xml:space="preserve">performing </w:t>
      </w:r>
      <w:r w:rsidRPr="001977EE">
        <w:t xml:space="preserve">the </w:t>
      </w:r>
      <w:r w:rsidR="009F4A9E" w:rsidRPr="001977EE">
        <w:t xml:space="preserve">Ordered Panel </w:t>
      </w:r>
      <w:r w:rsidR="004A7534" w:rsidRPr="001977EE">
        <w:t>Services</w:t>
      </w:r>
      <w:r w:rsidR="00C00F57" w:rsidRPr="001977EE">
        <w:t>;</w:t>
      </w:r>
    </w:p>
    <w:p w14:paraId="5AC9DF5D" w14:textId="16CCB4AA" w:rsidR="00C00F57" w:rsidRPr="001977EE" w:rsidRDefault="009949F6" w:rsidP="002B0231">
      <w:pPr>
        <w:pStyle w:val="SM1111"/>
        <w:ind w:left="1996" w:hanging="862"/>
      </w:pPr>
      <w:r w:rsidRPr="001977EE">
        <w:t xml:space="preserve">which of the </w:t>
      </w:r>
      <w:r w:rsidR="005D3C66" w:rsidRPr="001977EE">
        <w:t xml:space="preserve">Panel </w:t>
      </w:r>
      <w:r w:rsidR="00615170" w:rsidRPr="001977EE">
        <w:t>Customer</w:t>
      </w:r>
      <w:r w:rsidRPr="001977EE">
        <w:t xml:space="preserve">’s </w:t>
      </w:r>
      <w:r w:rsidR="009C6DC7" w:rsidRPr="001977EE">
        <w:t xml:space="preserve">personnel </w:t>
      </w:r>
      <w:r w:rsidRPr="001977EE">
        <w:t xml:space="preserve">can </w:t>
      </w:r>
      <w:r w:rsidR="00C00F57" w:rsidRPr="001977EE">
        <w:t xml:space="preserve">provide instructions and </w:t>
      </w:r>
      <w:r w:rsidRPr="001977EE">
        <w:t>authorise additional work</w:t>
      </w:r>
      <w:r w:rsidR="00C00F57" w:rsidRPr="001977EE">
        <w:t>;</w:t>
      </w:r>
      <w:r w:rsidR="00F02325" w:rsidRPr="001977EE">
        <w:t xml:space="preserve"> </w:t>
      </w:r>
      <w:r w:rsidRPr="001977EE">
        <w:t xml:space="preserve">and </w:t>
      </w:r>
    </w:p>
    <w:p w14:paraId="0D8AE5CE" w14:textId="5B4C74B6" w:rsidR="00436AD6" w:rsidRPr="001977EE" w:rsidRDefault="00C00F57" w:rsidP="002B0231">
      <w:pPr>
        <w:pStyle w:val="SM1111"/>
        <w:ind w:left="1996" w:hanging="862"/>
      </w:pPr>
      <w:proofErr w:type="gramStart"/>
      <w:r w:rsidRPr="001977EE">
        <w:t>the</w:t>
      </w:r>
      <w:proofErr w:type="gramEnd"/>
      <w:r w:rsidRPr="001977EE">
        <w:t xml:space="preserve"> </w:t>
      </w:r>
      <w:r w:rsidR="009949F6" w:rsidRPr="001977EE">
        <w:t xml:space="preserve">general management of the </w:t>
      </w:r>
      <w:r w:rsidR="009F4A9E" w:rsidRPr="001977EE">
        <w:t xml:space="preserve">Ordered Panel </w:t>
      </w:r>
      <w:r w:rsidR="004A7534" w:rsidRPr="001977EE">
        <w:t>Services</w:t>
      </w:r>
      <w:r w:rsidR="009C6DC7" w:rsidRPr="001977EE">
        <w:t xml:space="preserve"> and the provision by the Supplier thereof</w:t>
      </w:r>
      <w:r w:rsidR="009949F6" w:rsidRPr="001977EE">
        <w:t xml:space="preserve">. </w:t>
      </w:r>
    </w:p>
    <w:p w14:paraId="249EBC58" w14:textId="2D5A49A7" w:rsidR="00CD0FB6" w:rsidRPr="001977EE" w:rsidRDefault="009949F6" w:rsidP="00695B64">
      <w:pPr>
        <w:pStyle w:val="SM111"/>
      </w:pPr>
      <w:r w:rsidRPr="001977EE">
        <w:t xml:space="preserve">During the </w:t>
      </w:r>
      <w:r w:rsidR="00A54A3E" w:rsidRPr="001977EE">
        <w:t xml:space="preserve">performance </w:t>
      </w:r>
      <w:r w:rsidRPr="001977EE">
        <w:t xml:space="preserve">of </w:t>
      </w:r>
      <w:r w:rsidR="009F4A9E" w:rsidRPr="001977EE">
        <w:t xml:space="preserve">Ordered Panel </w:t>
      </w:r>
      <w:r w:rsidR="004A7534" w:rsidRPr="001977EE">
        <w:t>Services</w:t>
      </w:r>
      <w:r w:rsidR="005F1FA7" w:rsidRPr="001977EE">
        <w:t xml:space="preserve"> </w:t>
      </w:r>
      <w:r w:rsidRPr="001977EE">
        <w:t xml:space="preserve">the Supplier shall conduct </w:t>
      </w:r>
      <w:r w:rsidR="00CD0FB6" w:rsidRPr="001977EE">
        <w:t>review</w:t>
      </w:r>
      <w:r w:rsidRPr="001977EE">
        <w:t xml:space="preserve">s at intervals specified in the </w:t>
      </w:r>
      <w:r w:rsidR="001A30E9" w:rsidRPr="001977EE">
        <w:t xml:space="preserve">Legal Services Contract </w:t>
      </w:r>
      <w:r w:rsidR="00920218" w:rsidRPr="001977EE">
        <w:t xml:space="preserve">to </w:t>
      </w:r>
      <w:r w:rsidR="004F5072" w:rsidRPr="001977EE">
        <w:t>(</w:t>
      </w:r>
      <w:proofErr w:type="spellStart"/>
      <w:r w:rsidR="004F5072" w:rsidRPr="001977EE">
        <w:t>i</w:t>
      </w:r>
      <w:proofErr w:type="spellEnd"/>
      <w:r w:rsidR="004F5072" w:rsidRPr="001977EE">
        <w:t xml:space="preserve">) </w:t>
      </w:r>
      <w:r w:rsidRPr="001977EE">
        <w:t xml:space="preserve">review adherence to the original plans for </w:t>
      </w:r>
      <w:r w:rsidR="00C7086E" w:rsidRPr="001977EE">
        <w:t xml:space="preserve">the </w:t>
      </w:r>
      <w:r w:rsidR="00DE3F25" w:rsidRPr="001977EE">
        <w:t xml:space="preserve">Panel </w:t>
      </w:r>
      <w:r w:rsidR="00C7086E" w:rsidRPr="001977EE">
        <w:t>Services</w:t>
      </w:r>
      <w:r w:rsidR="004F5072" w:rsidRPr="001977EE">
        <w:t xml:space="preserve"> prepared pursuant to paragraph </w:t>
      </w:r>
      <w:r w:rsidR="004A3DEB" w:rsidRPr="001977EE">
        <w:t>3.7.4</w:t>
      </w:r>
      <w:r w:rsidR="004F5072" w:rsidRPr="001977EE">
        <w:t xml:space="preserve"> (above)</w:t>
      </w:r>
      <w:r w:rsidR="005F1FA7" w:rsidRPr="001977EE">
        <w:t>,</w:t>
      </w:r>
      <w:r w:rsidRPr="001977EE">
        <w:t xml:space="preserve"> and</w:t>
      </w:r>
      <w:r w:rsidR="004F5072" w:rsidRPr="001977EE">
        <w:t xml:space="preserve"> (ii)</w:t>
      </w:r>
      <w:r w:rsidRPr="001977EE">
        <w:t xml:space="preserve"> ensure </w:t>
      </w:r>
      <w:r w:rsidR="00CD0FB6" w:rsidRPr="001977EE">
        <w:t>optimis</w:t>
      </w:r>
      <w:r w:rsidRPr="001977EE">
        <w:t xml:space="preserve">ation of </w:t>
      </w:r>
      <w:r w:rsidR="00CD0FB6" w:rsidRPr="001977EE">
        <w:t xml:space="preserve">efficiency and value for money in provision of the </w:t>
      </w:r>
      <w:r w:rsidR="009F4A9E" w:rsidRPr="001977EE">
        <w:t>Ordered Panel Services</w:t>
      </w:r>
      <w:r w:rsidR="00CD0FB6" w:rsidRPr="001977EE">
        <w:t xml:space="preserve">. </w:t>
      </w:r>
      <w:r w:rsidR="00E8564F" w:rsidRPr="001977EE">
        <w:t xml:space="preserve">The Supplier shall </w:t>
      </w:r>
      <w:r w:rsidR="00CB0123" w:rsidRPr="001977EE">
        <w:t xml:space="preserve">perform this review in conjunction with the </w:t>
      </w:r>
      <w:r w:rsidR="005D3C66" w:rsidRPr="001977EE">
        <w:t xml:space="preserve">Panel </w:t>
      </w:r>
      <w:r w:rsidR="00DE3F25" w:rsidRPr="001977EE">
        <w:t>Customer</w:t>
      </w:r>
      <w:r w:rsidR="00CB0123" w:rsidRPr="001977EE">
        <w:t xml:space="preserve"> if requested but in any event shall </w:t>
      </w:r>
      <w:r w:rsidR="00E8564F" w:rsidRPr="001977EE">
        <w:t>(</w:t>
      </w:r>
      <w:proofErr w:type="spellStart"/>
      <w:r w:rsidR="00E8564F" w:rsidRPr="001977EE">
        <w:t>i</w:t>
      </w:r>
      <w:proofErr w:type="spellEnd"/>
      <w:r w:rsidR="00E8564F" w:rsidRPr="001977EE">
        <w:t xml:space="preserve">) confirm to the </w:t>
      </w:r>
      <w:r w:rsidR="005D3C66" w:rsidRPr="001977EE">
        <w:t xml:space="preserve">Panel </w:t>
      </w:r>
      <w:r w:rsidR="00615170" w:rsidRPr="001977EE">
        <w:t>Customer</w:t>
      </w:r>
      <w:r w:rsidR="00E8564F" w:rsidRPr="001977EE">
        <w:t xml:space="preserve"> that any review required has, in each case, been completed; and (ii) report to the </w:t>
      </w:r>
      <w:r w:rsidR="005D3C66" w:rsidRPr="001977EE">
        <w:t xml:space="preserve">Panel </w:t>
      </w:r>
      <w:r w:rsidR="00615170" w:rsidRPr="001977EE">
        <w:t>Customer</w:t>
      </w:r>
      <w:r w:rsidR="00E8564F" w:rsidRPr="001977EE">
        <w:t xml:space="preserve"> on the outcome of the review</w:t>
      </w:r>
      <w:r w:rsidR="005E341A" w:rsidRPr="001977EE">
        <w:t>.</w:t>
      </w:r>
    </w:p>
    <w:p w14:paraId="78AC51C2" w14:textId="36153A34" w:rsidR="002F2596" w:rsidRPr="001977EE" w:rsidRDefault="00FA0B7A" w:rsidP="00695B64">
      <w:pPr>
        <w:pStyle w:val="SM111"/>
      </w:pPr>
      <w:r w:rsidRPr="001977EE">
        <w:t xml:space="preserve">When requested by the </w:t>
      </w:r>
      <w:r w:rsidR="005D3C66" w:rsidRPr="001977EE">
        <w:t xml:space="preserve">Panel </w:t>
      </w:r>
      <w:r w:rsidRPr="001977EE">
        <w:t>Customer, t</w:t>
      </w:r>
      <w:r w:rsidR="002F2596" w:rsidRPr="001977EE">
        <w:t xml:space="preserve">he Supplier </w:t>
      </w:r>
      <w:r w:rsidRPr="001977EE">
        <w:t>shall</w:t>
      </w:r>
      <w:r w:rsidR="002F2596" w:rsidRPr="001977EE">
        <w:t xml:space="preserve"> work closely with lawyers from the </w:t>
      </w:r>
      <w:r w:rsidR="005D3C66" w:rsidRPr="001977EE">
        <w:t xml:space="preserve">Panel </w:t>
      </w:r>
      <w:r w:rsidR="00615170" w:rsidRPr="001977EE">
        <w:t>Customer</w:t>
      </w:r>
      <w:r w:rsidR="002F2596" w:rsidRPr="001977EE">
        <w:t>’s legal team or from t</w:t>
      </w:r>
      <w:r w:rsidR="0081391D" w:rsidRPr="001977EE">
        <w:t xml:space="preserve">he Government Legal Department, as part of the overall </w:t>
      </w:r>
      <w:r w:rsidR="00A54A3E" w:rsidRPr="001977EE">
        <w:t xml:space="preserve">performance </w:t>
      </w:r>
      <w:r w:rsidR="0081391D" w:rsidRPr="001977EE">
        <w:t xml:space="preserve">of </w:t>
      </w:r>
      <w:r w:rsidR="004A7534" w:rsidRPr="001977EE">
        <w:t xml:space="preserve">the </w:t>
      </w:r>
      <w:r w:rsidR="009F4A9E" w:rsidRPr="001977EE">
        <w:t>Ordered Panel Services</w:t>
      </w:r>
      <w:r w:rsidR="00E8564F" w:rsidRPr="001977EE">
        <w:t xml:space="preserve">, and it shall follow all directions in this regard which the </w:t>
      </w:r>
      <w:r w:rsidR="005D3C66" w:rsidRPr="001977EE">
        <w:t xml:space="preserve">Panel </w:t>
      </w:r>
      <w:r w:rsidR="00615170" w:rsidRPr="001977EE">
        <w:t>Customer</w:t>
      </w:r>
      <w:r w:rsidR="00E8564F" w:rsidRPr="001977EE">
        <w:t xml:space="preserve"> may make</w:t>
      </w:r>
      <w:r w:rsidR="0081391D" w:rsidRPr="001977EE">
        <w:t>.</w:t>
      </w:r>
    </w:p>
    <w:p w14:paraId="19ACFB7C" w14:textId="022128EC" w:rsidR="00630947" w:rsidRPr="001977EE" w:rsidRDefault="002B0231" w:rsidP="002B0231">
      <w:pPr>
        <w:pStyle w:val="SM111"/>
      </w:pPr>
      <w:r w:rsidRPr="001977EE">
        <w:t xml:space="preserve">The </w:t>
      </w:r>
      <w:r w:rsidR="00630947" w:rsidRPr="001977EE">
        <w:t xml:space="preserve">Supplier shall have in place a </w:t>
      </w:r>
      <w:r w:rsidR="0025054C" w:rsidRPr="001977EE">
        <w:t>M</w:t>
      </w:r>
      <w:r w:rsidR="00630947" w:rsidRPr="001977EE">
        <w:t xml:space="preserve">atter </w:t>
      </w:r>
      <w:r w:rsidR="0025054C" w:rsidRPr="001977EE">
        <w:t>M</w:t>
      </w:r>
      <w:r w:rsidR="00630947" w:rsidRPr="001977EE">
        <w:t>anagement system.</w:t>
      </w:r>
      <w:r w:rsidRPr="001977EE">
        <w:t xml:space="preserve"> </w:t>
      </w:r>
      <w:r w:rsidR="00630947" w:rsidRPr="001977EE">
        <w:t>The Supplier shall provide</w:t>
      </w:r>
      <w:r w:rsidR="00F01CAE" w:rsidRPr="001977EE">
        <w:t xml:space="preserve"> </w:t>
      </w:r>
      <w:r w:rsidR="0025054C" w:rsidRPr="001977EE">
        <w:t>M</w:t>
      </w:r>
      <w:r w:rsidR="00630947" w:rsidRPr="001977EE">
        <w:t xml:space="preserve">atter </w:t>
      </w:r>
      <w:r w:rsidR="0025054C" w:rsidRPr="001977EE">
        <w:t>M</w:t>
      </w:r>
      <w:r w:rsidR="00630947" w:rsidRPr="001977EE">
        <w:t>anagement</w:t>
      </w:r>
      <w:r w:rsidR="00F01CAE" w:rsidRPr="001977EE">
        <w:t xml:space="preserve"> free of charge.</w:t>
      </w:r>
      <w:r w:rsidR="00630947" w:rsidRPr="001977EE">
        <w:t xml:space="preserve"> </w:t>
      </w:r>
    </w:p>
    <w:p w14:paraId="68F5C555" w14:textId="00C5050D" w:rsidR="00630947" w:rsidRPr="001977EE" w:rsidRDefault="00F01CAE" w:rsidP="00F01CAE">
      <w:pPr>
        <w:pStyle w:val="Style111"/>
      </w:pPr>
      <w:r w:rsidRPr="001977EE">
        <w:t xml:space="preserve">The Supplier shall have in place </w:t>
      </w:r>
      <w:r w:rsidR="00127B1A" w:rsidRPr="001977EE">
        <w:t>from the</w:t>
      </w:r>
      <w:r w:rsidRPr="001977EE">
        <w:t xml:space="preserve"> Panel Agreement </w:t>
      </w:r>
      <w:r w:rsidR="00127B1A" w:rsidRPr="001977EE">
        <w:t>Commencement Date</w:t>
      </w:r>
      <w:r w:rsidR="00127B1A" w:rsidRPr="001977EE">
        <w:rPr>
          <w:rFonts w:eastAsia="MS Gothic"/>
          <w:b/>
        </w:rPr>
        <w:t xml:space="preserve"> </w:t>
      </w:r>
      <w:r w:rsidRPr="001977EE">
        <w:t xml:space="preserve">an </w:t>
      </w:r>
      <w:proofErr w:type="spellStart"/>
      <w:r w:rsidRPr="001977EE">
        <w:t>eBilling</w:t>
      </w:r>
      <w:proofErr w:type="spellEnd"/>
      <w:r w:rsidRPr="001977EE">
        <w:t xml:space="preserve"> process and system.</w:t>
      </w:r>
    </w:p>
    <w:p w14:paraId="3E97080C" w14:textId="4D25FAF2" w:rsidR="00F01CAE" w:rsidRPr="001977EE" w:rsidRDefault="005E341A" w:rsidP="009C716C">
      <w:pPr>
        <w:pStyle w:val="Style111"/>
      </w:pPr>
      <w:r w:rsidRPr="001977EE">
        <w:lastRenderedPageBreak/>
        <w:t xml:space="preserve">The </w:t>
      </w:r>
      <w:r w:rsidR="00F01CAE" w:rsidRPr="001977EE">
        <w:t xml:space="preserve">Supplier shall have in place within 12 months of Panel Agreement </w:t>
      </w:r>
      <w:r w:rsidR="00127B1A" w:rsidRPr="001977EE">
        <w:t>Commencement Date</w:t>
      </w:r>
      <w:r w:rsidR="00127B1A" w:rsidRPr="001977EE">
        <w:rPr>
          <w:rFonts w:eastAsia="MS Gothic"/>
          <w:b/>
        </w:rPr>
        <w:t xml:space="preserve"> </w:t>
      </w:r>
      <w:r w:rsidR="00F01CAE" w:rsidRPr="001977EE">
        <w:t>a procurement/cost reduction programme.</w:t>
      </w:r>
    </w:p>
    <w:p w14:paraId="05C97EDC" w14:textId="77777777" w:rsidR="001F02AC" w:rsidRPr="001977EE" w:rsidRDefault="00C238E6" w:rsidP="00695B64">
      <w:pPr>
        <w:pStyle w:val="SM11"/>
        <w:rPr>
          <w:b/>
        </w:rPr>
      </w:pPr>
      <w:r w:rsidRPr="001977EE">
        <w:rPr>
          <w:b/>
        </w:rPr>
        <w:t>Working Arrangements</w:t>
      </w:r>
    </w:p>
    <w:p w14:paraId="1E14694F" w14:textId="4F3E282A" w:rsidR="00991746" w:rsidRPr="001977EE" w:rsidRDefault="006E71E1" w:rsidP="00695B64">
      <w:pPr>
        <w:pStyle w:val="SM111"/>
        <w:rPr>
          <w:b/>
        </w:rPr>
      </w:pPr>
      <w:r w:rsidRPr="001977EE">
        <w:rPr>
          <w:b/>
        </w:rPr>
        <w:t>Collaborativ</w:t>
      </w:r>
      <w:r w:rsidR="006E6810" w:rsidRPr="001977EE">
        <w:rPr>
          <w:b/>
        </w:rPr>
        <w:t xml:space="preserve">e </w:t>
      </w:r>
      <w:r w:rsidR="00991746" w:rsidRPr="001977EE">
        <w:rPr>
          <w:b/>
        </w:rPr>
        <w:t>Working</w:t>
      </w:r>
    </w:p>
    <w:p w14:paraId="1018B5B2" w14:textId="471E84E2" w:rsidR="00C238E6" w:rsidRPr="001977EE" w:rsidRDefault="005564A0" w:rsidP="005564A0">
      <w:pPr>
        <w:pStyle w:val="SM1111"/>
        <w:ind w:left="1996" w:hanging="862"/>
      </w:pPr>
      <w:r w:rsidRPr="001977EE">
        <w:t xml:space="preserve">The Supplier acknowledges and agrees that </w:t>
      </w:r>
      <w:r w:rsidR="00615170" w:rsidRPr="001977EE">
        <w:t>Panel Customer</w:t>
      </w:r>
      <w:r w:rsidR="00820FFE" w:rsidRPr="001977EE">
        <w:t>s</w:t>
      </w:r>
      <w:r w:rsidR="00991746" w:rsidRPr="001977EE">
        <w:t xml:space="preserve"> may </w:t>
      </w:r>
      <w:r w:rsidR="006E71E1" w:rsidRPr="001977EE">
        <w:t xml:space="preserve">request </w:t>
      </w:r>
      <w:r w:rsidR="004D6864" w:rsidRPr="001977EE">
        <w:t xml:space="preserve">Suppliers </w:t>
      </w:r>
      <w:r w:rsidR="00991746" w:rsidRPr="001977EE">
        <w:t xml:space="preserve">from </w:t>
      </w:r>
      <w:r w:rsidR="00C238E6" w:rsidRPr="001977EE">
        <w:t xml:space="preserve">the </w:t>
      </w:r>
      <w:r w:rsidR="00121917" w:rsidRPr="001977EE">
        <w:t>Panel</w:t>
      </w:r>
      <w:r w:rsidR="00991746" w:rsidRPr="001977EE">
        <w:t xml:space="preserve"> to work in </w:t>
      </w:r>
      <w:r w:rsidR="00820FFE" w:rsidRPr="001977EE">
        <w:t>collaboration</w:t>
      </w:r>
      <w:r w:rsidR="00991746" w:rsidRPr="001977EE">
        <w:t xml:space="preserve"> with the </w:t>
      </w:r>
      <w:r w:rsidR="00615170" w:rsidRPr="001977EE">
        <w:t>Panel Customer</w:t>
      </w:r>
      <w:r w:rsidR="00991746" w:rsidRPr="001977EE">
        <w:t xml:space="preserve">’s internal lawyers or lawyers from other </w:t>
      </w:r>
      <w:r w:rsidR="00121917" w:rsidRPr="001977EE">
        <w:t>Panel</w:t>
      </w:r>
      <w:r w:rsidR="00991746" w:rsidRPr="001977EE">
        <w:t xml:space="preserve"> Suppliers or from </w:t>
      </w:r>
      <w:proofErr w:type="spellStart"/>
      <w:r w:rsidR="00991746" w:rsidRPr="001977EE">
        <w:t xml:space="preserve">non </w:t>
      </w:r>
      <w:r w:rsidR="00121917" w:rsidRPr="001977EE">
        <w:t>Panel</w:t>
      </w:r>
      <w:proofErr w:type="spellEnd"/>
      <w:r w:rsidR="00991746" w:rsidRPr="001977EE">
        <w:t xml:space="preserve"> Suppliers with varying specialism</w:t>
      </w:r>
      <w:r w:rsidR="00C238E6" w:rsidRPr="001977EE">
        <w:t>s</w:t>
      </w:r>
      <w:r w:rsidR="00991746" w:rsidRPr="001977EE">
        <w:t xml:space="preserve"> and experience to</w:t>
      </w:r>
      <w:r w:rsidR="00C238E6" w:rsidRPr="001977EE">
        <w:t>:</w:t>
      </w:r>
      <w:r w:rsidR="00991746" w:rsidRPr="001977EE">
        <w:t xml:space="preserve"> </w:t>
      </w:r>
    </w:p>
    <w:p w14:paraId="1EFF37C5" w14:textId="0527838D" w:rsidR="00C238E6" w:rsidRPr="001977EE" w:rsidRDefault="00991746" w:rsidP="0021095C">
      <w:pPr>
        <w:pStyle w:val="SM15"/>
      </w:pPr>
      <w:r w:rsidRPr="001977EE">
        <w:t xml:space="preserve">support the delivery of novel, complex or strategically important </w:t>
      </w:r>
      <w:r w:rsidR="009F4A9E" w:rsidRPr="001977EE">
        <w:t>Ordered Panel Services</w:t>
      </w:r>
      <w:r w:rsidR="00C238E6" w:rsidRPr="001977EE">
        <w:t>;</w:t>
      </w:r>
      <w:r w:rsidR="00DE489A" w:rsidRPr="001977EE">
        <w:t xml:space="preserve"> </w:t>
      </w:r>
      <w:r w:rsidRPr="001977EE">
        <w:t xml:space="preserve">and/or </w:t>
      </w:r>
    </w:p>
    <w:p w14:paraId="400B4CB2" w14:textId="103DD13C" w:rsidR="00991746" w:rsidRPr="001977EE" w:rsidRDefault="00991746" w:rsidP="0021095C">
      <w:pPr>
        <w:pStyle w:val="SM15"/>
      </w:pPr>
      <w:proofErr w:type="gramStart"/>
      <w:r w:rsidRPr="001977EE">
        <w:t>build</w:t>
      </w:r>
      <w:proofErr w:type="gramEnd"/>
      <w:r w:rsidRPr="001977EE">
        <w:t xml:space="preserve"> and</w:t>
      </w:r>
      <w:r w:rsidR="00C238E6" w:rsidRPr="001977EE">
        <w:t>/or</w:t>
      </w:r>
      <w:r w:rsidRPr="001977EE">
        <w:t xml:space="preserve"> complement capability and capacity across the </w:t>
      </w:r>
      <w:r w:rsidR="00121917" w:rsidRPr="001977EE">
        <w:t>Panel</w:t>
      </w:r>
      <w:r w:rsidRPr="001977EE">
        <w:t>.</w:t>
      </w:r>
      <w:r w:rsidR="00DE489A" w:rsidRPr="001977EE">
        <w:t xml:space="preserve"> </w:t>
      </w:r>
      <w:r w:rsidRPr="001977EE">
        <w:t xml:space="preserve"> </w:t>
      </w:r>
    </w:p>
    <w:p w14:paraId="0C8A1120" w14:textId="1AF27F54" w:rsidR="006E71E1" w:rsidRPr="001977EE" w:rsidRDefault="00FA0B7A" w:rsidP="005564A0">
      <w:pPr>
        <w:pStyle w:val="SM1111"/>
        <w:ind w:left="1996" w:hanging="862"/>
      </w:pPr>
      <w:r w:rsidRPr="001977EE">
        <w:t xml:space="preserve">The </w:t>
      </w:r>
      <w:r w:rsidR="006E71E1" w:rsidRPr="001977EE">
        <w:t>Supplier</w:t>
      </w:r>
      <w:r w:rsidR="00914C8F" w:rsidRPr="001977EE">
        <w:t xml:space="preserve"> shall ensure their full cooperation</w:t>
      </w:r>
      <w:r w:rsidR="006E71E1" w:rsidRPr="001977EE">
        <w:t xml:space="preserve"> to enable</w:t>
      </w:r>
      <w:r w:rsidR="00914C8F" w:rsidRPr="001977EE">
        <w:t xml:space="preserve"> and</w:t>
      </w:r>
      <w:r w:rsidR="006E71E1" w:rsidRPr="001977EE">
        <w:t xml:space="preserve"> facilitate </w:t>
      </w:r>
      <w:r w:rsidR="00914C8F" w:rsidRPr="001977EE">
        <w:t xml:space="preserve">wherever possible to operate in a </w:t>
      </w:r>
      <w:r w:rsidR="00820FFE" w:rsidRPr="001977EE">
        <w:t>c</w:t>
      </w:r>
      <w:r w:rsidR="00914C8F" w:rsidRPr="001977EE">
        <w:t xml:space="preserve">ollaborative </w:t>
      </w:r>
      <w:r w:rsidR="00820FFE" w:rsidRPr="001977EE">
        <w:t xml:space="preserve">way </w:t>
      </w:r>
      <w:r w:rsidR="00914C8F" w:rsidRPr="001977EE">
        <w:t xml:space="preserve">where a </w:t>
      </w:r>
      <w:r w:rsidR="00615170" w:rsidRPr="001977EE">
        <w:t>Panel Customer</w:t>
      </w:r>
      <w:r w:rsidR="00914C8F" w:rsidRPr="001977EE">
        <w:t xml:space="preserve"> project requires</w:t>
      </w:r>
      <w:r w:rsidR="00820FFE" w:rsidRPr="001977EE">
        <w:t xml:space="preserve"> this</w:t>
      </w:r>
      <w:r w:rsidR="00914C8F" w:rsidRPr="001977EE">
        <w:t>.</w:t>
      </w:r>
      <w:r w:rsidR="006E71E1" w:rsidRPr="001977EE">
        <w:t xml:space="preserve"> </w:t>
      </w:r>
    </w:p>
    <w:p w14:paraId="7D31EA86" w14:textId="43D867FF" w:rsidR="000746DB" w:rsidRPr="001977EE" w:rsidRDefault="00D66901" w:rsidP="00C670B4">
      <w:pPr>
        <w:pStyle w:val="SM11"/>
      </w:pPr>
      <w:r w:rsidRPr="001977EE">
        <w:rPr>
          <w:b/>
        </w:rPr>
        <w:t>Supplier Personnel Requirements</w:t>
      </w:r>
    </w:p>
    <w:p w14:paraId="7EFF0113" w14:textId="163704C5" w:rsidR="00D66901" w:rsidRPr="001977EE" w:rsidRDefault="005564A0" w:rsidP="00C670B4">
      <w:pPr>
        <w:pStyle w:val="Style111"/>
      </w:pPr>
      <w:r w:rsidRPr="001977EE">
        <w:t xml:space="preserve">The Supplier shall </w:t>
      </w:r>
      <w:r w:rsidR="00D66901" w:rsidRPr="001977EE">
        <w:t>ensure that all relevant Supplier Personnel hold a practising certificate as governed by the Solicitors Act 1974 as amended</w:t>
      </w:r>
      <w:r w:rsidR="00C238E6" w:rsidRPr="001977EE">
        <w:t xml:space="preserve"> or replaced from time to time</w:t>
      </w:r>
      <w:r w:rsidR="004D274D" w:rsidRPr="001977EE">
        <w:t>.</w:t>
      </w:r>
    </w:p>
    <w:p w14:paraId="17D93369" w14:textId="57BEAFBD" w:rsidR="00D66901" w:rsidRPr="001977EE" w:rsidRDefault="00C670B4" w:rsidP="00C670B4">
      <w:pPr>
        <w:pStyle w:val="Style111"/>
      </w:pPr>
      <w:r w:rsidRPr="001977EE">
        <w:t xml:space="preserve">The Supplier shall </w:t>
      </w:r>
      <w:r w:rsidR="00D66901" w:rsidRPr="001977EE">
        <w:t xml:space="preserve">ensure that all Supplier Personnel involved in the delivery of </w:t>
      </w:r>
      <w:r w:rsidR="009F4A9E" w:rsidRPr="001977EE">
        <w:t>Ordered Panel Services</w:t>
      </w:r>
      <w:r w:rsidR="00D66901" w:rsidRPr="001977EE">
        <w:t xml:space="preserve"> under </w:t>
      </w:r>
      <w:r w:rsidR="0056392C" w:rsidRPr="001977EE">
        <w:t>Legal Services Contract</w:t>
      </w:r>
      <w:r w:rsidR="00D66901" w:rsidRPr="001977EE">
        <w:t>s act in a responsible and professional manner and possess the qualifications, experience and competence appropriate to the tasks for which they are employed</w:t>
      </w:r>
      <w:r w:rsidR="00AB6832" w:rsidRPr="001977EE">
        <w:t>, including in relation to any legal specialism or areas of legal practice relevant to performing a Legal Services Contract</w:t>
      </w:r>
      <w:r w:rsidR="004D274D" w:rsidRPr="001977EE">
        <w:t>.</w:t>
      </w:r>
      <w:r w:rsidR="00D66901" w:rsidRPr="001977EE">
        <w:t xml:space="preserve"> </w:t>
      </w:r>
    </w:p>
    <w:p w14:paraId="02960037" w14:textId="36D1A4D2" w:rsidR="00D66901" w:rsidRPr="001977EE" w:rsidRDefault="00C670B4" w:rsidP="00C670B4">
      <w:pPr>
        <w:pStyle w:val="Style111"/>
      </w:pPr>
      <w:r w:rsidRPr="001977EE">
        <w:t xml:space="preserve">The Supplier shall </w:t>
      </w:r>
      <w:r w:rsidR="00D66901" w:rsidRPr="001977EE">
        <w:t>ensure that all Supplier Personnel provide the</w:t>
      </w:r>
      <w:r w:rsidR="009F4A9E" w:rsidRPr="001977EE">
        <w:t xml:space="preserve"> Ordered Panel</w:t>
      </w:r>
      <w:r w:rsidR="00D66901" w:rsidRPr="001977EE">
        <w:t xml:space="preserve"> Services with due skill, care and diligence, as expected of a skilled professional engaged in the </w:t>
      </w:r>
      <w:r w:rsidR="00BD4F92" w:rsidRPr="001977EE">
        <w:t>perform</w:t>
      </w:r>
      <w:r w:rsidR="00AB6832" w:rsidRPr="001977EE">
        <w:t xml:space="preserve">ing </w:t>
      </w:r>
      <w:r w:rsidR="00BD4F92" w:rsidRPr="001977EE">
        <w:t xml:space="preserve">services similar to the </w:t>
      </w:r>
      <w:r w:rsidR="009F4A9E" w:rsidRPr="001977EE">
        <w:t xml:space="preserve">Ordered Panel </w:t>
      </w:r>
      <w:r w:rsidR="00D66901" w:rsidRPr="001977EE">
        <w:t>Service</w:t>
      </w:r>
      <w:r w:rsidR="00BD4F92" w:rsidRPr="001977EE">
        <w:t>s</w:t>
      </w:r>
      <w:r w:rsidR="004D274D" w:rsidRPr="001977EE">
        <w:t>.</w:t>
      </w:r>
      <w:r w:rsidR="00D66901" w:rsidRPr="001977EE">
        <w:t xml:space="preserve"> </w:t>
      </w:r>
    </w:p>
    <w:p w14:paraId="4F92F2E1" w14:textId="7D624283" w:rsidR="00D66901" w:rsidRPr="001977EE" w:rsidRDefault="00C670B4" w:rsidP="00C670B4">
      <w:pPr>
        <w:pStyle w:val="Style111"/>
      </w:pPr>
      <w:r w:rsidRPr="001977EE">
        <w:t xml:space="preserve">The Supplier shall </w:t>
      </w:r>
      <w:r w:rsidR="0030419B" w:rsidRPr="001977EE">
        <w:t xml:space="preserve">make available to </w:t>
      </w:r>
      <w:r w:rsidR="00615170" w:rsidRPr="001977EE">
        <w:t>Panel Customer</w:t>
      </w:r>
      <w:r w:rsidR="0030419B" w:rsidRPr="001977EE">
        <w:t>s</w:t>
      </w:r>
      <w:r w:rsidR="00D66901" w:rsidRPr="001977EE">
        <w:t xml:space="preserve"> </w:t>
      </w:r>
      <w:r w:rsidR="002B1AA4" w:rsidRPr="001977EE">
        <w:t xml:space="preserve">the </w:t>
      </w:r>
      <w:r w:rsidR="00D66901" w:rsidRPr="001977EE">
        <w:t xml:space="preserve">following </w:t>
      </w:r>
      <w:r w:rsidR="0030419B" w:rsidRPr="001977EE">
        <w:t>grades of</w:t>
      </w:r>
      <w:r w:rsidR="004D6864" w:rsidRPr="001977EE">
        <w:t xml:space="preserve"> </w:t>
      </w:r>
      <w:r w:rsidRPr="001977EE">
        <w:t>Supplier P</w:t>
      </w:r>
      <w:r w:rsidR="004D6864" w:rsidRPr="001977EE">
        <w:t>ersonnel</w:t>
      </w:r>
      <w:r w:rsidR="00D66901" w:rsidRPr="001977EE">
        <w:t xml:space="preserve">: </w:t>
      </w:r>
    </w:p>
    <w:p w14:paraId="537C84B8" w14:textId="77777777" w:rsidR="00501FA0" w:rsidRPr="001977EE" w:rsidRDefault="00501FA0" w:rsidP="001C3AFE">
      <w:pPr>
        <w:pStyle w:val="ListParagraph"/>
        <w:spacing w:before="120" w:after="0" w:line="240" w:lineRule="auto"/>
        <w:ind w:left="1854"/>
        <w:contextualSpacing w:val="0"/>
        <w:jc w:val="both"/>
        <w:rPr>
          <w:rFonts w:ascii="Arial" w:hAnsi="Arial" w:cs="Arial"/>
        </w:rPr>
      </w:pPr>
    </w:p>
    <w:tbl>
      <w:tblPr>
        <w:tblStyle w:val="TableGrid"/>
        <w:tblW w:w="0" w:type="auto"/>
        <w:jc w:val="right"/>
        <w:tblLook w:val="04A0" w:firstRow="1" w:lastRow="0" w:firstColumn="1" w:lastColumn="0" w:noHBand="0" w:noVBand="1"/>
      </w:tblPr>
      <w:tblGrid>
        <w:gridCol w:w="1989"/>
        <w:gridCol w:w="5812"/>
      </w:tblGrid>
      <w:tr w:rsidR="001977EE" w:rsidRPr="001977EE" w14:paraId="53F27AD0" w14:textId="77777777" w:rsidTr="001C3AFE">
        <w:trPr>
          <w:trHeight w:val="489"/>
          <w:jc w:val="right"/>
        </w:trPr>
        <w:tc>
          <w:tcPr>
            <w:tcW w:w="1989" w:type="dxa"/>
            <w:shd w:val="clear" w:color="auto" w:fill="D9D9D9" w:themeFill="background1" w:themeFillShade="D9"/>
            <w:vAlign w:val="center"/>
          </w:tcPr>
          <w:p w14:paraId="6AFC75A9" w14:textId="77777777" w:rsidR="00516B22" w:rsidRPr="001977EE" w:rsidRDefault="00AB6832">
            <w:pPr>
              <w:spacing w:after="0"/>
              <w:jc w:val="center"/>
              <w:rPr>
                <w:rFonts w:ascii="Arial" w:hAnsi="Arial" w:cs="Arial"/>
                <w:b/>
              </w:rPr>
            </w:pPr>
            <w:r w:rsidRPr="001977EE">
              <w:rPr>
                <w:rFonts w:ascii="Arial" w:hAnsi="Arial" w:cs="Arial"/>
                <w:b/>
              </w:rPr>
              <w:t xml:space="preserve">Supplier </w:t>
            </w:r>
            <w:r w:rsidR="00516B22" w:rsidRPr="001977EE">
              <w:rPr>
                <w:rFonts w:ascii="Arial" w:hAnsi="Arial" w:cs="Arial"/>
                <w:b/>
              </w:rPr>
              <w:t xml:space="preserve">Personnel </w:t>
            </w:r>
          </w:p>
        </w:tc>
        <w:tc>
          <w:tcPr>
            <w:tcW w:w="5812" w:type="dxa"/>
            <w:shd w:val="clear" w:color="auto" w:fill="D9D9D9" w:themeFill="background1" w:themeFillShade="D9"/>
            <w:vAlign w:val="center"/>
          </w:tcPr>
          <w:p w14:paraId="723AC708" w14:textId="77777777" w:rsidR="00516B22" w:rsidRPr="001977EE" w:rsidRDefault="00516B22" w:rsidP="00675A76">
            <w:pPr>
              <w:spacing w:after="0"/>
              <w:jc w:val="center"/>
              <w:rPr>
                <w:rFonts w:ascii="Arial" w:hAnsi="Arial" w:cs="Arial"/>
              </w:rPr>
            </w:pPr>
            <w:r w:rsidRPr="001977EE">
              <w:rPr>
                <w:rFonts w:ascii="Arial" w:hAnsi="Arial" w:cs="Arial"/>
                <w:b/>
              </w:rPr>
              <w:t>Description</w:t>
            </w:r>
            <w:r w:rsidR="00AB6832" w:rsidRPr="001977EE">
              <w:rPr>
                <w:rFonts w:ascii="Arial" w:hAnsi="Arial" w:cs="Arial"/>
                <w:b/>
              </w:rPr>
              <w:t xml:space="preserve"> of role</w:t>
            </w:r>
          </w:p>
        </w:tc>
      </w:tr>
      <w:tr w:rsidR="001977EE" w:rsidRPr="001977EE" w14:paraId="3168B939" w14:textId="77777777" w:rsidTr="001C3AFE">
        <w:trPr>
          <w:jc w:val="right"/>
        </w:trPr>
        <w:tc>
          <w:tcPr>
            <w:tcW w:w="1989" w:type="dxa"/>
            <w:tcBorders>
              <w:top w:val="single" w:sz="6" w:space="0" w:color="auto"/>
              <w:left w:val="single" w:sz="6" w:space="0" w:color="auto"/>
              <w:bottom w:val="single" w:sz="6" w:space="0" w:color="auto"/>
              <w:right w:val="single" w:sz="6" w:space="0" w:color="auto"/>
            </w:tcBorders>
            <w:shd w:val="clear" w:color="auto" w:fill="auto"/>
            <w:vAlign w:val="center"/>
          </w:tcPr>
          <w:p w14:paraId="185E4F9D" w14:textId="77777777" w:rsidR="00516B22" w:rsidRPr="001977EE" w:rsidRDefault="00516B22" w:rsidP="002B1AA4">
            <w:pPr>
              <w:pStyle w:val="ListParagraph"/>
              <w:spacing w:before="120" w:after="0" w:line="240" w:lineRule="auto"/>
              <w:ind w:left="0"/>
              <w:contextualSpacing w:val="0"/>
              <w:rPr>
                <w:rFonts w:ascii="Arial" w:hAnsi="Arial" w:cs="Arial"/>
              </w:rPr>
            </w:pPr>
            <w:r w:rsidRPr="001977EE">
              <w:rPr>
                <w:rFonts w:ascii="Arial" w:hAnsi="Arial" w:cs="Arial"/>
              </w:rPr>
              <w:t xml:space="preserve">Partner (including </w:t>
            </w:r>
            <w:r w:rsidR="00E8472C" w:rsidRPr="001977EE">
              <w:rPr>
                <w:rFonts w:ascii="Arial" w:hAnsi="Arial" w:cs="Arial"/>
              </w:rPr>
              <w:t xml:space="preserve">senior </w:t>
            </w:r>
            <w:r w:rsidRPr="001977EE">
              <w:rPr>
                <w:rFonts w:ascii="Arial" w:hAnsi="Arial" w:cs="Arial"/>
              </w:rPr>
              <w:t xml:space="preserve">/ </w:t>
            </w:r>
            <w:r w:rsidR="00E8472C" w:rsidRPr="001977EE">
              <w:rPr>
                <w:rFonts w:ascii="Arial" w:hAnsi="Arial" w:cs="Arial"/>
              </w:rPr>
              <w:t>managing</w:t>
            </w:r>
            <w:r w:rsidR="002B1AA4" w:rsidRPr="001977EE">
              <w:rPr>
                <w:rFonts w:ascii="Arial" w:hAnsi="Arial" w:cs="Arial"/>
              </w:rPr>
              <w:t xml:space="preserve">) </w:t>
            </w:r>
          </w:p>
        </w:tc>
        <w:tc>
          <w:tcPr>
            <w:tcW w:w="5812" w:type="dxa"/>
            <w:tcBorders>
              <w:top w:val="single" w:sz="6" w:space="0" w:color="auto"/>
              <w:left w:val="single" w:sz="6" w:space="0" w:color="auto"/>
              <w:bottom w:val="single" w:sz="6" w:space="0" w:color="auto"/>
              <w:right w:val="single" w:sz="6" w:space="0" w:color="auto"/>
            </w:tcBorders>
            <w:shd w:val="clear" w:color="auto" w:fill="auto"/>
            <w:vAlign w:val="center"/>
          </w:tcPr>
          <w:p w14:paraId="7520E989" w14:textId="7E2172E6" w:rsidR="00336126" w:rsidRPr="001977EE" w:rsidRDefault="00336126" w:rsidP="00BD4CA8">
            <w:pPr>
              <w:pStyle w:val="ListParagraph"/>
              <w:numPr>
                <w:ilvl w:val="0"/>
                <w:numId w:val="6"/>
              </w:numPr>
              <w:spacing w:before="120" w:after="120" w:line="240" w:lineRule="auto"/>
              <w:jc w:val="both"/>
              <w:rPr>
                <w:rFonts w:ascii="Arial" w:hAnsi="Arial" w:cs="Arial"/>
              </w:rPr>
            </w:pPr>
            <w:r w:rsidRPr="001977EE">
              <w:rPr>
                <w:rFonts w:ascii="Arial" w:hAnsi="Arial" w:cs="Arial"/>
              </w:rPr>
              <w:t xml:space="preserve">key contact with the </w:t>
            </w:r>
            <w:r w:rsidR="00615170" w:rsidRPr="001977EE">
              <w:rPr>
                <w:rFonts w:ascii="Arial" w:hAnsi="Arial" w:cs="Arial"/>
              </w:rPr>
              <w:t>Panel Customer</w:t>
            </w:r>
            <w:r w:rsidRPr="001977EE">
              <w:rPr>
                <w:rFonts w:ascii="Arial" w:hAnsi="Arial" w:cs="Arial"/>
              </w:rPr>
              <w:t>;</w:t>
            </w:r>
          </w:p>
          <w:p w14:paraId="0AAC331F" w14:textId="77777777" w:rsidR="00516B22" w:rsidRPr="001977EE" w:rsidRDefault="0030419B" w:rsidP="00BD4CA8">
            <w:pPr>
              <w:pStyle w:val="ListParagraph"/>
              <w:numPr>
                <w:ilvl w:val="0"/>
                <w:numId w:val="6"/>
              </w:numPr>
              <w:spacing w:before="120" w:after="120" w:line="240" w:lineRule="auto"/>
              <w:jc w:val="both"/>
              <w:rPr>
                <w:rFonts w:ascii="Arial" w:hAnsi="Arial" w:cs="Arial"/>
              </w:rPr>
            </w:pPr>
            <w:r w:rsidRPr="001977EE">
              <w:rPr>
                <w:rFonts w:ascii="Arial" w:hAnsi="Arial" w:cs="Arial"/>
              </w:rPr>
              <w:t xml:space="preserve">overall </w:t>
            </w:r>
            <w:r w:rsidR="00516B22" w:rsidRPr="001977EE">
              <w:rPr>
                <w:rFonts w:ascii="Arial" w:hAnsi="Arial" w:cs="Arial"/>
              </w:rPr>
              <w:t xml:space="preserve">responsibility for quality assurance, success of project and supervision of </w:t>
            </w:r>
            <w:r w:rsidR="00336126" w:rsidRPr="001977EE">
              <w:rPr>
                <w:rFonts w:ascii="Arial" w:hAnsi="Arial" w:cs="Arial"/>
              </w:rPr>
              <w:t>Supplier Personnel</w:t>
            </w:r>
            <w:r w:rsidR="001C3AFE" w:rsidRPr="001977EE">
              <w:rPr>
                <w:rFonts w:ascii="Arial" w:hAnsi="Arial" w:cs="Arial"/>
              </w:rPr>
              <w:t>;</w:t>
            </w:r>
          </w:p>
          <w:p w14:paraId="0B31D39A" w14:textId="0112689E" w:rsidR="00516B22" w:rsidRPr="001977EE" w:rsidRDefault="00615170" w:rsidP="00BD4CA8">
            <w:pPr>
              <w:pStyle w:val="ListParagraph"/>
              <w:numPr>
                <w:ilvl w:val="0"/>
                <w:numId w:val="6"/>
              </w:numPr>
              <w:spacing w:before="120" w:after="120" w:line="240" w:lineRule="auto"/>
              <w:jc w:val="both"/>
              <w:rPr>
                <w:rFonts w:ascii="Arial" w:hAnsi="Arial" w:cs="Arial"/>
              </w:rPr>
            </w:pPr>
            <w:r w:rsidRPr="001977EE">
              <w:rPr>
                <w:rFonts w:ascii="Arial" w:hAnsi="Arial" w:cs="Arial"/>
              </w:rPr>
              <w:t>Panel Customer</w:t>
            </w:r>
            <w:r w:rsidR="00413B71" w:rsidRPr="001977EE">
              <w:rPr>
                <w:rFonts w:ascii="Arial" w:hAnsi="Arial" w:cs="Arial"/>
              </w:rPr>
              <w:t xml:space="preserve"> </w:t>
            </w:r>
            <w:r w:rsidR="0030419B" w:rsidRPr="001977EE">
              <w:rPr>
                <w:rFonts w:ascii="Arial" w:hAnsi="Arial" w:cs="Arial"/>
              </w:rPr>
              <w:t>relationship management</w:t>
            </w:r>
            <w:r w:rsidR="001C3AFE" w:rsidRPr="001977EE">
              <w:rPr>
                <w:rFonts w:ascii="Arial" w:hAnsi="Arial" w:cs="Arial"/>
              </w:rPr>
              <w:t>;</w:t>
            </w:r>
          </w:p>
          <w:p w14:paraId="118F7C49" w14:textId="77777777" w:rsidR="00516B22" w:rsidRPr="001977EE" w:rsidRDefault="0030419B" w:rsidP="00BD4CA8">
            <w:pPr>
              <w:pStyle w:val="ListParagraph"/>
              <w:numPr>
                <w:ilvl w:val="0"/>
                <w:numId w:val="6"/>
              </w:numPr>
              <w:spacing w:before="120" w:after="120" w:line="240" w:lineRule="auto"/>
              <w:jc w:val="both"/>
              <w:rPr>
                <w:rFonts w:ascii="Arial" w:hAnsi="Arial" w:cs="Arial"/>
              </w:rPr>
            </w:pPr>
            <w:r w:rsidRPr="001977EE">
              <w:rPr>
                <w:rFonts w:ascii="Arial" w:hAnsi="Arial" w:cs="Arial"/>
              </w:rPr>
              <w:t>overall responsibility for working within budgets agreed as part of a Legal Services Contract</w:t>
            </w:r>
            <w:r w:rsidR="001C3AFE" w:rsidRPr="001977EE">
              <w:rPr>
                <w:rFonts w:ascii="Arial" w:hAnsi="Arial" w:cs="Arial"/>
              </w:rPr>
              <w:t>;</w:t>
            </w:r>
            <w:r w:rsidR="00413B71" w:rsidRPr="001977EE">
              <w:rPr>
                <w:rFonts w:ascii="Arial" w:hAnsi="Arial" w:cs="Arial"/>
              </w:rPr>
              <w:t xml:space="preserve"> and</w:t>
            </w:r>
          </w:p>
          <w:p w14:paraId="336E8172" w14:textId="3AAF158A" w:rsidR="001C3AFE" w:rsidRPr="001977EE" w:rsidRDefault="0030419B" w:rsidP="004D274D">
            <w:pPr>
              <w:pStyle w:val="ListParagraph"/>
              <w:numPr>
                <w:ilvl w:val="0"/>
                <w:numId w:val="6"/>
              </w:numPr>
              <w:spacing w:before="120" w:after="120" w:line="240" w:lineRule="auto"/>
              <w:jc w:val="both"/>
              <w:rPr>
                <w:rFonts w:ascii="Arial" w:hAnsi="Arial" w:cs="Arial"/>
              </w:rPr>
            </w:pPr>
            <w:proofErr w:type="gramStart"/>
            <w:r w:rsidRPr="001977EE">
              <w:rPr>
                <w:rFonts w:ascii="Arial" w:hAnsi="Arial" w:cs="Arial"/>
              </w:rPr>
              <w:t>appropriate</w:t>
            </w:r>
            <w:proofErr w:type="gramEnd"/>
            <w:r w:rsidRPr="001977EE">
              <w:rPr>
                <w:rFonts w:ascii="Arial" w:hAnsi="Arial" w:cs="Arial"/>
              </w:rPr>
              <w:t xml:space="preserve"> </w:t>
            </w:r>
            <w:r w:rsidR="00516B22" w:rsidRPr="001977EE">
              <w:rPr>
                <w:rFonts w:ascii="Arial" w:hAnsi="Arial" w:cs="Arial"/>
              </w:rPr>
              <w:t>direct contribution to complex / important legal matters</w:t>
            </w:r>
            <w:r w:rsidRPr="001977EE">
              <w:rPr>
                <w:rFonts w:ascii="Arial" w:hAnsi="Arial" w:cs="Arial"/>
              </w:rPr>
              <w:t xml:space="preserve"> relating to a Legal Services Contract</w:t>
            </w:r>
            <w:r w:rsidR="00413B71" w:rsidRPr="001977EE">
              <w:rPr>
                <w:rFonts w:ascii="Arial" w:hAnsi="Arial" w:cs="Arial"/>
              </w:rPr>
              <w:t>.</w:t>
            </w:r>
          </w:p>
        </w:tc>
      </w:tr>
      <w:tr w:rsidR="001977EE" w:rsidRPr="001977EE" w14:paraId="640C8766" w14:textId="77777777" w:rsidTr="001C3AFE">
        <w:trPr>
          <w:jc w:val="right"/>
        </w:trPr>
        <w:tc>
          <w:tcPr>
            <w:tcW w:w="1989" w:type="dxa"/>
            <w:tcBorders>
              <w:top w:val="single" w:sz="6" w:space="0" w:color="auto"/>
              <w:left w:val="single" w:sz="6" w:space="0" w:color="auto"/>
              <w:bottom w:val="single" w:sz="6" w:space="0" w:color="auto"/>
              <w:right w:val="single" w:sz="6" w:space="0" w:color="auto"/>
            </w:tcBorders>
            <w:shd w:val="clear" w:color="auto" w:fill="auto"/>
            <w:vAlign w:val="center"/>
          </w:tcPr>
          <w:p w14:paraId="19968C23" w14:textId="77777777" w:rsidR="00516B22" w:rsidRPr="001977EE" w:rsidRDefault="00D859D3" w:rsidP="002B1AA4">
            <w:pPr>
              <w:pStyle w:val="ListParagraph"/>
              <w:spacing w:before="120" w:after="0" w:line="240" w:lineRule="auto"/>
              <w:ind w:left="0"/>
              <w:contextualSpacing w:val="0"/>
              <w:rPr>
                <w:rFonts w:ascii="Arial" w:hAnsi="Arial" w:cs="Arial"/>
              </w:rPr>
            </w:pPr>
            <w:r w:rsidRPr="001977EE">
              <w:rPr>
                <w:rFonts w:ascii="Arial" w:hAnsi="Arial" w:cs="Arial"/>
              </w:rPr>
              <w:t>Senior Solicitor / Senior Associate/Legal Director</w:t>
            </w:r>
            <w:r w:rsidR="00ED2D82" w:rsidRPr="001977EE">
              <w:rPr>
                <w:rFonts w:ascii="Arial" w:hAnsi="Arial" w:cs="Arial"/>
              </w:rPr>
              <w:t xml:space="preserve"> </w:t>
            </w:r>
          </w:p>
        </w:tc>
        <w:tc>
          <w:tcPr>
            <w:tcW w:w="5812" w:type="dxa"/>
            <w:tcBorders>
              <w:top w:val="single" w:sz="6" w:space="0" w:color="auto"/>
              <w:left w:val="single" w:sz="6" w:space="0" w:color="auto"/>
              <w:bottom w:val="single" w:sz="6" w:space="0" w:color="auto"/>
              <w:right w:val="single" w:sz="6" w:space="0" w:color="auto"/>
            </w:tcBorders>
            <w:shd w:val="clear" w:color="auto" w:fill="auto"/>
          </w:tcPr>
          <w:p w14:paraId="3F8AD8AE" w14:textId="518D2378" w:rsidR="002B1AA4" w:rsidRPr="001977EE" w:rsidRDefault="00336126" w:rsidP="00BD4CA8">
            <w:pPr>
              <w:numPr>
                <w:ilvl w:val="0"/>
                <w:numId w:val="6"/>
              </w:numPr>
              <w:spacing w:before="120" w:after="120" w:line="240" w:lineRule="auto"/>
              <w:contextualSpacing/>
              <w:jc w:val="both"/>
              <w:rPr>
                <w:rFonts w:ascii="Arial" w:hAnsi="Arial" w:cs="Arial"/>
              </w:rPr>
            </w:pPr>
            <w:r w:rsidRPr="001977EE">
              <w:rPr>
                <w:rFonts w:ascii="Arial" w:hAnsi="Arial" w:cs="Arial"/>
              </w:rPr>
              <w:t>main contact for day-to</w:t>
            </w:r>
            <w:r w:rsidR="002B1AA4" w:rsidRPr="001977EE">
              <w:rPr>
                <w:rFonts w:ascii="Arial" w:hAnsi="Arial" w:cs="Arial"/>
              </w:rPr>
              <w:t xml:space="preserve">-day </w:t>
            </w:r>
            <w:r w:rsidR="00615170" w:rsidRPr="001977EE">
              <w:rPr>
                <w:rFonts w:ascii="Arial" w:hAnsi="Arial" w:cs="Arial"/>
              </w:rPr>
              <w:t>Panel Customer</w:t>
            </w:r>
            <w:r w:rsidR="002B1AA4" w:rsidRPr="001977EE">
              <w:rPr>
                <w:rFonts w:ascii="Arial" w:hAnsi="Arial" w:cs="Arial"/>
              </w:rPr>
              <w:t xml:space="preserve"> liaison (for more </w:t>
            </w:r>
            <w:r w:rsidRPr="001977EE">
              <w:rPr>
                <w:rFonts w:ascii="Arial" w:hAnsi="Arial" w:cs="Arial"/>
              </w:rPr>
              <w:t>complex/significant and non-routine matters);</w:t>
            </w:r>
          </w:p>
          <w:p w14:paraId="4CA76D5E" w14:textId="543173C0" w:rsidR="00D859D3" w:rsidRPr="001977EE" w:rsidRDefault="00BD4F92" w:rsidP="00BD4CA8">
            <w:pPr>
              <w:numPr>
                <w:ilvl w:val="0"/>
                <w:numId w:val="6"/>
              </w:numPr>
              <w:spacing w:before="120" w:after="120" w:line="240" w:lineRule="auto"/>
              <w:contextualSpacing/>
              <w:jc w:val="both"/>
              <w:rPr>
                <w:rFonts w:ascii="Arial" w:hAnsi="Arial" w:cs="Arial"/>
              </w:rPr>
            </w:pPr>
            <w:r w:rsidRPr="001977EE">
              <w:rPr>
                <w:rFonts w:ascii="Arial" w:hAnsi="Arial" w:cs="Arial"/>
              </w:rPr>
              <w:t xml:space="preserve">day </w:t>
            </w:r>
            <w:r w:rsidR="00D859D3" w:rsidRPr="001977EE">
              <w:rPr>
                <w:rFonts w:ascii="Arial" w:hAnsi="Arial" w:cs="Arial"/>
              </w:rPr>
              <w:t xml:space="preserve">to </w:t>
            </w:r>
            <w:r w:rsidRPr="001977EE">
              <w:rPr>
                <w:rFonts w:ascii="Arial" w:hAnsi="Arial" w:cs="Arial"/>
              </w:rPr>
              <w:t xml:space="preserve">day </w:t>
            </w:r>
            <w:r w:rsidR="002A5732" w:rsidRPr="001977EE">
              <w:rPr>
                <w:rFonts w:ascii="Arial" w:hAnsi="Arial" w:cs="Arial"/>
              </w:rPr>
              <w:t>M</w:t>
            </w:r>
            <w:r w:rsidRPr="001977EE">
              <w:rPr>
                <w:rFonts w:ascii="Arial" w:hAnsi="Arial" w:cs="Arial"/>
              </w:rPr>
              <w:t xml:space="preserve">atter </w:t>
            </w:r>
            <w:r w:rsidR="002A5732" w:rsidRPr="001977EE">
              <w:rPr>
                <w:rFonts w:ascii="Arial" w:hAnsi="Arial" w:cs="Arial"/>
              </w:rPr>
              <w:t>M</w:t>
            </w:r>
            <w:r w:rsidRPr="001977EE">
              <w:rPr>
                <w:rFonts w:ascii="Arial" w:hAnsi="Arial" w:cs="Arial"/>
              </w:rPr>
              <w:t>anagement</w:t>
            </w:r>
            <w:r w:rsidR="00D859D3" w:rsidRPr="001977EE">
              <w:rPr>
                <w:rFonts w:ascii="Arial" w:hAnsi="Arial" w:cs="Arial"/>
              </w:rPr>
              <w:t>;</w:t>
            </w:r>
          </w:p>
          <w:p w14:paraId="4E1B870A" w14:textId="77777777" w:rsidR="00D859D3" w:rsidRPr="001977EE" w:rsidRDefault="00BD4F92" w:rsidP="00BD4CA8">
            <w:pPr>
              <w:numPr>
                <w:ilvl w:val="0"/>
                <w:numId w:val="6"/>
              </w:numPr>
              <w:spacing w:before="120" w:after="120" w:line="240" w:lineRule="auto"/>
              <w:contextualSpacing/>
              <w:jc w:val="both"/>
              <w:rPr>
                <w:rFonts w:ascii="Arial" w:hAnsi="Arial" w:cs="Arial"/>
              </w:rPr>
            </w:pPr>
            <w:r w:rsidRPr="001977EE">
              <w:rPr>
                <w:rFonts w:ascii="Arial" w:hAnsi="Arial" w:cs="Arial"/>
              </w:rPr>
              <w:lastRenderedPageBreak/>
              <w:t>significant level of quality assurance</w:t>
            </w:r>
            <w:r w:rsidR="00D859D3" w:rsidRPr="001977EE">
              <w:rPr>
                <w:rFonts w:ascii="Arial" w:hAnsi="Arial" w:cs="Arial"/>
              </w:rPr>
              <w:t>;</w:t>
            </w:r>
          </w:p>
          <w:p w14:paraId="111866F3" w14:textId="77777777" w:rsidR="00E8472C" w:rsidRPr="001977EE" w:rsidRDefault="00BD4F92" w:rsidP="00BD4CA8">
            <w:pPr>
              <w:numPr>
                <w:ilvl w:val="0"/>
                <w:numId w:val="6"/>
              </w:numPr>
              <w:spacing w:before="120" w:after="120" w:line="240" w:lineRule="auto"/>
              <w:contextualSpacing/>
              <w:jc w:val="both"/>
              <w:rPr>
                <w:rFonts w:ascii="Arial" w:hAnsi="Arial" w:cs="Arial"/>
              </w:rPr>
            </w:pPr>
            <w:r w:rsidRPr="001977EE">
              <w:rPr>
                <w:rFonts w:ascii="Arial" w:hAnsi="Arial" w:cs="Arial"/>
              </w:rPr>
              <w:t xml:space="preserve">appropriate </w:t>
            </w:r>
            <w:r w:rsidR="00D859D3" w:rsidRPr="001977EE">
              <w:rPr>
                <w:rFonts w:ascii="Arial" w:hAnsi="Arial" w:cs="Arial"/>
              </w:rPr>
              <w:t>dir</w:t>
            </w:r>
            <w:r w:rsidR="002B1AA4" w:rsidRPr="001977EE">
              <w:rPr>
                <w:rFonts w:ascii="Arial" w:hAnsi="Arial" w:cs="Arial"/>
              </w:rPr>
              <w:t>ect contribution to difficult/</w:t>
            </w:r>
            <w:r w:rsidR="00D859D3" w:rsidRPr="001977EE">
              <w:rPr>
                <w:rFonts w:ascii="Arial" w:hAnsi="Arial" w:cs="Arial"/>
              </w:rPr>
              <w:t>important legal matters</w:t>
            </w:r>
            <w:r w:rsidRPr="001977EE">
              <w:rPr>
                <w:rFonts w:ascii="Arial" w:hAnsi="Arial" w:cs="Arial"/>
              </w:rPr>
              <w:t xml:space="preserve"> relating to a Legal Services Contract</w:t>
            </w:r>
            <w:r w:rsidR="00D859D3" w:rsidRPr="001977EE">
              <w:rPr>
                <w:rFonts w:ascii="Arial" w:hAnsi="Arial" w:cs="Arial"/>
              </w:rPr>
              <w:t>;</w:t>
            </w:r>
          </w:p>
          <w:p w14:paraId="7032235C" w14:textId="77777777" w:rsidR="00D859D3" w:rsidRPr="001977EE" w:rsidRDefault="00E8472C" w:rsidP="00E8472C">
            <w:pPr>
              <w:numPr>
                <w:ilvl w:val="0"/>
                <w:numId w:val="6"/>
              </w:numPr>
              <w:spacing w:before="120" w:after="120" w:line="240" w:lineRule="auto"/>
              <w:contextualSpacing/>
              <w:jc w:val="both"/>
              <w:rPr>
                <w:rFonts w:ascii="Arial" w:hAnsi="Arial" w:cs="Arial"/>
              </w:rPr>
            </w:pPr>
            <w:r w:rsidRPr="001977EE">
              <w:rPr>
                <w:rFonts w:ascii="Arial" w:hAnsi="Arial" w:cs="Arial"/>
              </w:rPr>
              <w:t>involving higher more senior grades of lawyer as appropriate;</w:t>
            </w:r>
            <w:r w:rsidR="00BD4F92" w:rsidRPr="001977EE">
              <w:rPr>
                <w:rFonts w:ascii="Arial" w:hAnsi="Arial" w:cs="Arial"/>
              </w:rPr>
              <w:t xml:space="preserve"> and</w:t>
            </w:r>
          </w:p>
          <w:p w14:paraId="22B710CF" w14:textId="72991C29" w:rsidR="001C3AFE" w:rsidRPr="001977EE" w:rsidRDefault="00D859D3" w:rsidP="004D274D">
            <w:pPr>
              <w:numPr>
                <w:ilvl w:val="0"/>
                <w:numId w:val="6"/>
              </w:numPr>
              <w:spacing w:before="120" w:after="120" w:line="240" w:lineRule="auto"/>
              <w:contextualSpacing/>
              <w:jc w:val="both"/>
              <w:rPr>
                <w:rFonts w:ascii="Arial" w:hAnsi="Arial"/>
                <w:b/>
                <w:strike/>
              </w:rPr>
            </w:pPr>
            <w:r w:rsidRPr="001977EE">
              <w:rPr>
                <w:rFonts w:ascii="Arial" w:hAnsi="Arial" w:cs="Arial"/>
                <w:kern w:val="24"/>
                <w:lang w:val="en-US"/>
              </w:rPr>
              <w:t>5-7 years or more post qualified experience</w:t>
            </w:r>
            <w:r w:rsidRPr="001977EE">
              <w:rPr>
                <w:rFonts w:ascii="Arial" w:hAnsi="Arial" w:cs="Arial"/>
              </w:rPr>
              <w:t xml:space="preserve"> in relevant field of work.</w:t>
            </w:r>
          </w:p>
        </w:tc>
      </w:tr>
      <w:tr w:rsidR="001977EE" w:rsidRPr="001977EE" w14:paraId="51992E83" w14:textId="77777777" w:rsidTr="001C3AFE">
        <w:trPr>
          <w:jc w:val="right"/>
        </w:trPr>
        <w:tc>
          <w:tcPr>
            <w:tcW w:w="1989" w:type="dxa"/>
            <w:tcBorders>
              <w:top w:val="single" w:sz="6" w:space="0" w:color="auto"/>
              <w:left w:val="single" w:sz="6" w:space="0" w:color="auto"/>
              <w:bottom w:val="single" w:sz="6" w:space="0" w:color="auto"/>
              <w:right w:val="single" w:sz="6" w:space="0" w:color="auto"/>
            </w:tcBorders>
            <w:shd w:val="clear" w:color="auto" w:fill="auto"/>
            <w:vAlign w:val="center"/>
          </w:tcPr>
          <w:p w14:paraId="4FB348B8" w14:textId="77777777" w:rsidR="00516B22" w:rsidRPr="001977EE" w:rsidRDefault="00516B22" w:rsidP="002B1AA4">
            <w:pPr>
              <w:pStyle w:val="ListParagraph"/>
              <w:spacing w:before="120" w:after="0" w:line="240" w:lineRule="auto"/>
              <w:ind w:left="0"/>
              <w:contextualSpacing w:val="0"/>
              <w:rPr>
                <w:rFonts w:ascii="Arial" w:hAnsi="Arial" w:cs="Arial"/>
              </w:rPr>
            </w:pPr>
            <w:r w:rsidRPr="001977EE">
              <w:rPr>
                <w:rFonts w:ascii="Arial" w:hAnsi="Arial" w:cs="Arial"/>
              </w:rPr>
              <w:lastRenderedPageBreak/>
              <w:t>Solicitor / Associate</w:t>
            </w:r>
            <w:r w:rsidR="00ED2D82" w:rsidRPr="001977EE">
              <w:rPr>
                <w:rFonts w:ascii="Arial" w:hAnsi="Arial" w:cs="Arial"/>
              </w:rPr>
              <w:t xml:space="preserve"> </w:t>
            </w:r>
          </w:p>
        </w:tc>
        <w:tc>
          <w:tcPr>
            <w:tcW w:w="5812" w:type="dxa"/>
            <w:tcBorders>
              <w:top w:val="single" w:sz="6" w:space="0" w:color="auto"/>
              <w:left w:val="single" w:sz="6" w:space="0" w:color="auto"/>
              <w:bottom w:val="single" w:sz="6" w:space="0" w:color="auto"/>
              <w:right w:val="single" w:sz="6" w:space="0" w:color="auto"/>
            </w:tcBorders>
            <w:shd w:val="clear" w:color="auto" w:fill="auto"/>
          </w:tcPr>
          <w:p w14:paraId="2BF98D91" w14:textId="2B0F9D9C" w:rsidR="00516B22" w:rsidRPr="001977EE" w:rsidRDefault="00BD4F92" w:rsidP="00BD4CA8">
            <w:pPr>
              <w:pStyle w:val="ListParagraph"/>
              <w:numPr>
                <w:ilvl w:val="0"/>
                <w:numId w:val="6"/>
              </w:numPr>
              <w:spacing w:before="120" w:after="120" w:line="240" w:lineRule="auto"/>
              <w:jc w:val="both"/>
              <w:rPr>
                <w:rFonts w:ascii="Arial" w:hAnsi="Arial" w:cs="Arial"/>
              </w:rPr>
            </w:pPr>
            <w:r w:rsidRPr="001977EE">
              <w:rPr>
                <w:rFonts w:ascii="Arial" w:hAnsi="Arial" w:cs="Arial"/>
              </w:rPr>
              <w:t xml:space="preserve">main </w:t>
            </w:r>
            <w:r w:rsidR="00516B22" w:rsidRPr="001977EE">
              <w:rPr>
                <w:rFonts w:ascii="Arial" w:hAnsi="Arial" w:cs="Arial"/>
              </w:rPr>
              <w:t xml:space="preserve">contact for day-to-day </w:t>
            </w:r>
            <w:r w:rsidR="00615170" w:rsidRPr="001977EE">
              <w:rPr>
                <w:rFonts w:ascii="Arial" w:hAnsi="Arial" w:cs="Arial"/>
              </w:rPr>
              <w:t>Panel Customer</w:t>
            </w:r>
            <w:r w:rsidRPr="001977EE">
              <w:rPr>
                <w:rFonts w:ascii="Arial" w:hAnsi="Arial" w:cs="Arial"/>
              </w:rPr>
              <w:t xml:space="preserve"> </w:t>
            </w:r>
            <w:r w:rsidR="00516B22" w:rsidRPr="001977EE">
              <w:rPr>
                <w:rFonts w:ascii="Arial" w:hAnsi="Arial" w:cs="Arial"/>
              </w:rPr>
              <w:t>liaison (</w:t>
            </w:r>
            <w:r w:rsidR="00336126" w:rsidRPr="001977EE">
              <w:rPr>
                <w:rFonts w:ascii="Arial" w:hAnsi="Arial" w:cs="Arial"/>
              </w:rPr>
              <w:t xml:space="preserve">for simple and </w:t>
            </w:r>
            <w:r w:rsidR="00516B22" w:rsidRPr="001977EE">
              <w:rPr>
                <w:rFonts w:ascii="Arial" w:hAnsi="Arial" w:cs="Arial"/>
              </w:rPr>
              <w:t>routine matters)</w:t>
            </w:r>
            <w:r w:rsidR="001C3AFE" w:rsidRPr="001977EE">
              <w:rPr>
                <w:rFonts w:ascii="Arial" w:hAnsi="Arial" w:cs="Arial"/>
              </w:rPr>
              <w:t>;</w:t>
            </w:r>
            <w:r w:rsidR="00516B22" w:rsidRPr="001977EE">
              <w:rPr>
                <w:rFonts w:ascii="Arial" w:hAnsi="Arial" w:cs="Arial"/>
              </w:rPr>
              <w:t xml:space="preserve"> </w:t>
            </w:r>
          </w:p>
          <w:p w14:paraId="1FB8BB89" w14:textId="77777777" w:rsidR="001C3AFE" w:rsidRPr="001977EE" w:rsidRDefault="00336126" w:rsidP="00BD4CA8">
            <w:pPr>
              <w:pStyle w:val="ListParagraph"/>
              <w:numPr>
                <w:ilvl w:val="0"/>
                <w:numId w:val="6"/>
              </w:numPr>
              <w:spacing w:before="120" w:after="120" w:line="240" w:lineRule="auto"/>
              <w:jc w:val="both"/>
              <w:rPr>
                <w:rFonts w:ascii="Arial" w:hAnsi="Arial" w:cs="Arial"/>
              </w:rPr>
            </w:pPr>
            <w:r w:rsidRPr="001977EE">
              <w:rPr>
                <w:rFonts w:ascii="Arial" w:hAnsi="Arial" w:cs="Arial"/>
              </w:rPr>
              <w:t xml:space="preserve">performing </w:t>
            </w:r>
            <w:r w:rsidR="00516B22" w:rsidRPr="001977EE">
              <w:rPr>
                <w:rFonts w:ascii="Arial" w:hAnsi="Arial" w:cs="Arial"/>
              </w:rPr>
              <w:t xml:space="preserve">(or supervising more junior grades </w:t>
            </w:r>
            <w:r w:rsidRPr="001977EE">
              <w:rPr>
                <w:rFonts w:ascii="Arial" w:hAnsi="Arial" w:cs="Arial"/>
              </w:rPr>
              <w:t>in relation to</w:t>
            </w:r>
            <w:r w:rsidR="00661139" w:rsidRPr="001977EE">
              <w:rPr>
                <w:rFonts w:ascii="Arial" w:hAnsi="Arial" w:cs="Arial"/>
              </w:rPr>
              <w:t>)</w:t>
            </w:r>
            <w:r w:rsidRPr="001977EE">
              <w:rPr>
                <w:rFonts w:ascii="Arial" w:hAnsi="Arial" w:cs="Arial"/>
              </w:rPr>
              <w:t xml:space="preserve"> </w:t>
            </w:r>
            <w:r w:rsidR="00516B22" w:rsidRPr="001977EE">
              <w:rPr>
                <w:rFonts w:ascii="Arial" w:hAnsi="Arial" w:cs="Arial"/>
              </w:rPr>
              <w:t xml:space="preserve">work </w:t>
            </w:r>
            <w:r w:rsidRPr="001977EE">
              <w:rPr>
                <w:rFonts w:ascii="Arial" w:hAnsi="Arial" w:cs="Arial"/>
              </w:rPr>
              <w:t>typically requiring</w:t>
            </w:r>
            <w:r w:rsidR="00516B22" w:rsidRPr="001977EE">
              <w:rPr>
                <w:rFonts w:ascii="Arial" w:hAnsi="Arial" w:cs="Arial"/>
              </w:rPr>
              <w:t xml:space="preserve"> at least two </w:t>
            </w:r>
            <w:r w:rsidR="001C3AFE" w:rsidRPr="001977EE">
              <w:rPr>
                <w:rFonts w:ascii="Arial" w:hAnsi="Arial" w:cs="Arial"/>
              </w:rPr>
              <w:t xml:space="preserve">years’ </w:t>
            </w:r>
            <w:r w:rsidRPr="001977EE">
              <w:rPr>
                <w:rFonts w:ascii="Arial" w:hAnsi="Arial" w:cs="Arial"/>
              </w:rPr>
              <w:t xml:space="preserve">legal </w:t>
            </w:r>
            <w:r w:rsidR="001C3AFE" w:rsidRPr="001977EE">
              <w:rPr>
                <w:rFonts w:ascii="Arial" w:hAnsi="Arial" w:cs="Arial"/>
              </w:rPr>
              <w:t>experience</w:t>
            </w:r>
            <w:r w:rsidR="00516B22" w:rsidRPr="001977EE">
              <w:rPr>
                <w:rFonts w:ascii="Arial" w:hAnsi="Arial" w:cs="Arial"/>
              </w:rPr>
              <w:t xml:space="preserve"> in </w:t>
            </w:r>
            <w:r w:rsidRPr="001977EE">
              <w:rPr>
                <w:rFonts w:ascii="Arial" w:hAnsi="Arial" w:cs="Arial"/>
              </w:rPr>
              <w:t xml:space="preserve">the </w:t>
            </w:r>
            <w:r w:rsidR="00516B22" w:rsidRPr="001977EE">
              <w:rPr>
                <w:rFonts w:ascii="Arial" w:hAnsi="Arial" w:cs="Arial"/>
              </w:rPr>
              <w:t>relevant field of work</w:t>
            </w:r>
            <w:r w:rsidR="001C3AFE" w:rsidRPr="001977EE">
              <w:rPr>
                <w:rFonts w:ascii="Arial" w:hAnsi="Arial" w:cs="Arial"/>
              </w:rPr>
              <w:t>;</w:t>
            </w:r>
          </w:p>
          <w:p w14:paraId="0CFF31AB" w14:textId="77777777" w:rsidR="00474616" w:rsidRPr="001977EE" w:rsidRDefault="00474616" w:rsidP="00BD4CA8">
            <w:pPr>
              <w:pStyle w:val="ListParagraph"/>
              <w:numPr>
                <w:ilvl w:val="0"/>
                <w:numId w:val="6"/>
              </w:numPr>
              <w:spacing w:before="120" w:after="120" w:line="240" w:lineRule="auto"/>
              <w:jc w:val="both"/>
              <w:rPr>
                <w:rFonts w:ascii="Arial" w:hAnsi="Arial" w:cs="Arial"/>
              </w:rPr>
            </w:pPr>
            <w:r w:rsidRPr="001977EE">
              <w:rPr>
                <w:rFonts w:ascii="Arial" w:hAnsi="Arial" w:cs="Arial"/>
                <w:kern w:val="24"/>
                <w:lang w:val="en-US"/>
              </w:rPr>
              <w:t>3-5 years or more post qualified experience</w:t>
            </w:r>
            <w:r w:rsidRPr="001977EE">
              <w:rPr>
                <w:rFonts w:ascii="Arial" w:hAnsi="Arial" w:cs="Arial"/>
              </w:rPr>
              <w:t xml:space="preserve"> in relevant field of work</w:t>
            </w:r>
            <w:r w:rsidR="00E8472C" w:rsidRPr="001977EE">
              <w:rPr>
                <w:rFonts w:ascii="Arial" w:hAnsi="Arial" w:cs="Arial"/>
              </w:rPr>
              <w:t>; and</w:t>
            </w:r>
          </w:p>
          <w:p w14:paraId="352117C2" w14:textId="77777777" w:rsidR="00516B22" w:rsidRPr="001977EE" w:rsidRDefault="00E8472C">
            <w:pPr>
              <w:pStyle w:val="ListParagraph"/>
              <w:numPr>
                <w:ilvl w:val="0"/>
                <w:numId w:val="6"/>
              </w:numPr>
              <w:spacing w:before="120" w:after="120" w:line="240" w:lineRule="auto"/>
              <w:jc w:val="both"/>
              <w:rPr>
                <w:rFonts w:ascii="Arial" w:hAnsi="Arial" w:cs="Arial"/>
              </w:rPr>
            </w:pPr>
            <w:proofErr w:type="gramStart"/>
            <w:r w:rsidRPr="001977EE">
              <w:rPr>
                <w:rFonts w:ascii="Arial" w:hAnsi="Arial" w:cs="Arial"/>
              </w:rPr>
              <w:t>involving</w:t>
            </w:r>
            <w:proofErr w:type="gramEnd"/>
            <w:r w:rsidRPr="001977EE">
              <w:rPr>
                <w:rFonts w:ascii="Arial" w:hAnsi="Arial" w:cs="Arial"/>
              </w:rPr>
              <w:t xml:space="preserve"> more senior </w:t>
            </w:r>
            <w:r w:rsidR="00516B22" w:rsidRPr="001977EE">
              <w:rPr>
                <w:rFonts w:ascii="Arial" w:hAnsi="Arial" w:cs="Arial"/>
              </w:rPr>
              <w:t>grades</w:t>
            </w:r>
            <w:r w:rsidRPr="001977EE">
              <w:rPr>
                <w:rFonts w:ascii="Arial" w:hAnsi="Arial" w:cs="Arial"/>
              </w:rPr>
              <w:t xml:space="preserve"> of lawyer</w:t>
            </w:r>
            <w:r w:rsidR="00516B22" w:rsidRPr="001977EE">
              <w:rPr>
                <w:rFonts w:ascii="Arial" w:hAnsi="Arial" w:cs="Arial"/>
              </w:rPr>
              <w:t xml:space="preserve"> as appropriate</w:t>
            </w:r>
            <w:r w:rsidR="001C3AFE" w:rsidRPr="001977EE">
              <w:rPr>
                <w:rFonts w:ascii="Arial" w:hAnsi="Arial" w:cs="Arial"/>
              </w:rPr>
              <w:t>.</w:t>
            </w:r>
          </w:p>
        </w:tc>
      </w:tr>
      <w:tr w:rsidR="001977EE" w:rsidRPr="001977EE" w14:paraId="7DFA3536" w14:textId="77777777" w:rsidTr="001C3AFE">
        <w:trPr>
          <w:jc w:val="right"/>
        </w:trPr>
        <w:tc>
          <w:tcPr>
            <w:tcW w:w="1989" w:type="dxa"/>
            <w:tcBorders>
              <w:top w:val="single" w:sz="6" w:space="0" w:color="auto"/>
              <w:left w:val="single" w:sz="6" w:space="0" w:color="auto"/>
              <w:bottom w:val="single" w:sz="6" w:space="0" w:color="auto"/>
              <w:right w:val="single" w:sz="6" w:space="0" w:color="auto"/>
            </w:tcBorders>
            <w:shd w:val="clear" w:color="auto" w:fill="auto"/>
            <w:vAlign w:val="center"/>
          </w:tcPr>
          <w:p w14:paraId="7C9A4AE7" w14:textId="77777777" w:rsidR="00516B22" w:rsidRPr="001977EE" w:rsidRDefault="00516B22" w:rsidP="002B1AA4">
            <w:pPr>
              <w:pStyle w:val="ListParagraph"/>
              <w:spacing w:before="120" w:after="0" w:line="240" w:lineRule="auto"/>
              <w:ind w:left="0"/>
              <w:contextualSpacing w:val="0"/>
              <w:rPr>
                <w:rFonts w:ascii="Arial" w:hAnsi="Arial" w:cs="Arial"/>
              </w:rPr>
            </w:pPr>
            <w:r w:rsidRPr="001977EE">
              <w:rPr>
                <w:rFonts w:ascii="Arial" w:hAnsi="Arial" w:cs="Arial"/>
              </w:rPr>
              <w:t xml:space="preserve">Junior Solicitor </w:t>
            </w:r>
          </w:p>
        </w:tc>
        <w:tc>
          <w:tcPr>
            <w:tcW w:w="5812" w:type="dxa"/>
            <w:tcBorders>
              <w:top w:val="single" w:sz="6" w:space="0" w:color="auto"/>
              <w:left w:val="single" w:sz="6" w:space="0" w:color="auto"/>
              <w:bottom w:val="single" w:sz="6" w:space="0" w:color="auto"/>
              <w:right w:val="single" w:sz="6" w:space="0" w:color="auto"/>
            </w:tcBorders>
            <w:shd w:val="clear" w:color="auto" w:fill="auto"/>
          </w:tcPr>
          <w:p w14:paraId="46386EA9" w14:textId="77777777" w:rsidR="00516B22" w:rsidRPr="001977EE" w:rsidRDefault="00661139" w:rsidP="002815B7">
            <w:pPr>
              <w:pStyle w:val="ListParagraph"/>
              <w:spacing w:before="120" w:after="120" w:line="240" w:lineRule="auto"/>
              <w:ind w:left="360"/>
              <w:jc w:val="both"/>
              <w:rPr>
                <w:rFonts w:ascii="Arial" w:hAnsi="Arial" w:cs="Arial"/>
              </w:rPr>
            </w:pPr>
            <w:r w:rsidRPr="001977EE">
              <w:rPr>
                <w:rFonts w:ascii="Arial" w:hAnsi="Arial" w:cs="Arial"/>
              </w:rPr>
              <w:t>performing  work that requires the level of expertise typically requiring up to two (2) years’ legal experience in the relevant field of work;</w:t>
            </w:r>
          </w:p>
        </w:tc>
      </w:tr>
      <w:tr w:rsidR="001977EE" w:rsidRPr="001977EE" w14:paraId="299BBC2E" w14:textId="77777777" w:rsidTr="001C3AFE">
        <w:trPr>
          <w:jc w:val="right"/>
        </w:trPr>
        <w:tc>
          <w:tcPr>
            <w:tcW w:w="1989" w:type="dxa"/>
            <w:tcBorders>
              <w:top w:val="single" w:sz="6" w:space="0" w:color="auto"/>
              <w:left w:val="single" w:sz="6" w:space="0" w:color="auto"/>
              <w:bottom w:val="single" w:sz="6" w:space="0" w:color="auto"/>
              <w:right w:val="single" w:sz="6" w:space="0" w:color="auto"/>
            </w:tcBorders>
            <w:shd w:val="clear" w:color="auto" w:fill="auto"/>
            <w:vAlign w:val="center"/>
          </w:tcPr>
          <w:p w14:paraId="02D8676F" w14:textId="77777777" w:rsidR="00516B22" w:rsidRPr="001977EE" w:rsidRDefault="00516B22" w:rsidP="009562D2">
            <w:pPr>
              <w:pStyle w:val="ListParagraph"/>
              <w:spacing w:before="120" w:after="0" w:line="240" w:lineRule="auto"/>
              <w:ind w:left="0"/>
              <w:contextualSpacing w:val="0"/>
              <w:jc w:val="both"/>
              <w:rPr>
                <w:rFonts w:ascii="Arial" w:hAnsi="Arial" w:cs="Arial"/>
              </w:rPr>
            </w:pPr>
            <w:r w:rsidRPr="001977EE">
              <w:rPr>
                <w:rFonts w:ascii="Arial" w:hAnsi="Arial" w:cs="Arial"/>
              </w:rPr>
              <w:t>Trainee</w:t>
            </w:r>
            <w:r w:rsidR="005045A9" w:rsidRPr="001977EE">
              <w:rPr>
                <w:rFonts w:ascii="Arial" w:hAnsi="Arial" w:cs="Arial"/>
              </w:rPr>
              <w:t xml:space="preserve"> </w:t>
            </w:r>
          </w:p>
        </w:tc>
        <w:tc>
          <w:tcPr>
            <w:tcW w:w="5812" w:type="dxa"/>
            <w:tcBorders>
              <w:top w:val="single" w:sz="6" w:space="0" w:color="auto"/>
              <w:left w:val="single" w:sz="6" w:space="0" w:color="auto"/>
              <w:bottom w:val="single" w:sz="6" w:space="0" w:color="auto"/>
              <w:right w:val="single" w:sz="6" w:space="0" w:color="auto"/>
            </w:tcBorders>
            <w:shd w:val="clear" w:color="auto" w:fill="auto"/>
          </w:tcPr>
          <w:p w14:paraId="4304C8E4" w14:textId="77777777" w:rsidR="00516B22" w:rsidRPr="001977EE" w:rsidRDefault="00661139" w:rsidP="002815B7">
            <w:pPr>
              <w:pStyle w:val="ListParagraph"/>
              <w:spacing w:before="120" w:after="120" w:line="240" w:lineRule="auto"/>
              <w:ind w:left="360"/>
              <w:jc w:val="both"/>
              <w:rPr>
                <w:rFonts w:ascii="Arial" w:hAnsi="Arial" w:cs="Arial"/>
              </w:rPr>
            </w:pPr>
            <w:r w:rsidRPr="001977EE">
              <w:rPr>
                <w:rFonts w:ascii="Arial" w:hAnsi="Arial" w:cs="Arial"/>
              </w:rPr>
              <w:t>performing work</w:t>
            </w:r>
            <w:r w:rsidR="00516B22" w:rsidRPr="001977EE">
              <w:rPr>
                <w:rFonts w:ascii="Arial" w:hAnsi="Arial" w:cs="Arial"/>
              </w:rPr>
              <w:t xml:space="preserve"> that can be appropriately delegated to a </w:t>
            </w:r>
            <w:r w:rsidR="00516B22" w:rsidRPr="001977EE">
              <w:rPr>
                <w:rFonts w:ascii="Arial" w:hAnsi="Arial" w:cs="Arial"/>
                <w:kern w:val="24"/>
                <w:lang w:val="en-US"/>
              </w:rPr>
              <w:t>Trainee Solicitor</w:t>
            </w:r>
            <w:r w:rsidRPr="001977EE">
              <w:rPr>
                <w:rFonts w:ascii="Arial" w:hAnsi="Arial" w:cs="Arial"/>
                <w:kern w:val="24"/>
                <w:lang w:val="en-US"/>
              </w:rPr>
              <w:t>; and</w:t>
            </w:r>
          </w:p>
        </w:tc>
      </w:tr>
      <w:tr w:rsidR="0081391D" w:rsidRPr="001977EE" w14:paraId="0334095A" w14:textId="77777777" w:rsidTr="001C3AFE">
        <w:trPr>
          <w:jc w:val="right"/>
        </w:trPr>
        <w:tc>
          <w:tcPr>
            <w:tcW w:w="1989" w:type="dxa"/>
            <w:tcBorders>
              <w:top w:val="single" w:sz="6" w:space="0" w:color="auto"/>
              <w:left w:val="single" w:sz="6" w:space="0" w:color="auto"/>
              <w:bottom w:val="single" w:sz="6" w:space="0" w:color="auto"/>
              <w:right w:val="single" w:sz="6" w:space="0" w:color="auto"/>
            </w:tcBorders>
            <w:shd w:val="clear" w:color="auto" w:fill="auto"/>
            <w:vAlign w:val="center"/>
          </w:tcPr>
          <w:p w14:paraId="568F0A06" w14:textId="77777777" w:rsidR="0081391D" w:rsidRPr="001977EE" w:rsidRDefault="0081391D" w:rsidP="009562D2">
            <w:pPr>
              <w:pStyle w:val="ListParagraph"/>
              <w:spacing w:before="120" w:after="0" w:line="240" w:lineRule="auto"/>
              <w:ind w:left="0"/>
              <w:contextualSpacing w:val="0"/>
              <w:jc w:val="both"/>
              <w:rPr>
                <w:rFonts w:ascii="Arial" w:hAnsi="Arial" w:cs="Arial"/>
              </w:rPr>
            </w:pPr>
            <w:r w:rsidRPr="001977EE">
              <w:rPr>
                <w:rFonts w:ascii="Arial" w:hAnsi="Arial" w:cs="Arial"/>
              </w:rPr>
              <w:t>Paralegal</w:t>
            </w:r>
            <w:r w:rsidR="005045A9" w:rsidRPr="001977EE">
              <w:rPr>
                <w:rFonts w:ascii="Arial" w:hAnsi="Arial" w:cs="Arial"/>
              </w:rPr>
              <w:t xml:space="preserve"> </w:t>
            </w:r>
          </w:p>
        </w:tc>
        <w:tc>
          <w:tcPr>
            <w:tcW w:w="5812" w:type="dxa"/>
            <w:tcBorders>
              <w:top w:val="single" w:sz="6" w:space="0" w:color="auto"/>
              <w:left w:val="single" w:sz="6" w:space="0" w:color="auto"/>
              <w:bottom w:val="single" w:sz="6" w:space="0" w:color="auto"/>
              <w:right w:val="single" w:sz="6" w:space="0" w:color="auto"/>
            </w:tcBorders>
            <w:shd w:val="clear" w:color="auto" w:fill="auto"/>
          </w:tcPr>
          <w:p w14:paraId="488075CD" w14:textId="77777777" w:rsidR="00474616" w:rsidRPr="001977EE" w:rsidRDefault="00661139">
            <w:pPr>
              <w:pStyle w:val="ListParagraph"/>
              <w:spacing w:before="120" w:after="120"/>
              <w:ind w:left="360"/>
              <w:jc w:val="both"/>
              <w:rPr>
                <w:rFonts w:ascii="Arial" w:hAnsi="Arial" w:cs="Arial"/>
              </w:rPr>
            </w:pPr>
            <w:proofErr w:type="gramStart"/>
            <w:r w:rsidRPr="001977EE">
              <w:rPr>
                <w:rFonts w:ascii="Arial" w:hAnsi="Arial" w:cs="Arial"/>
              </w:rPr>
              <w:t>performing</w:t>
            </w:r>
            <w:proofErr w:type="gramEnd"/>
            <w:r w:rsidRPr="001977EE">
              <w:rPr>
                <w:rFonts w:ascii="Arial" w:hAnsi="Arial" w:cs="Arial"/>
              </w:rPr>
              <w:t xml:space="preserve"> work that can be appropriately delegated to a Paralegal with 2 or more years of experience.</w:t>
            </w:r>
          </w:p>
        </w:tc>
      </w:tr>
    </w:tbl>
    <w:p w14:paraId="7E5766EE" w14:textId="77777777" w:rsidR="008827BF" w:rsidRPr="001977EE" w:rsidRDefault="008827BF" w:rsidP="002815B7">
      <w:pPr>
        <w:pStyle w:val="SM111"/>
        <w:numPr>
          <w:ilvl w:val="0"/>
          <w:numId w:val="0"/>
        </w:numPr>
        <w:ind w:left="1247"/>
      </w:pPr>
    </w:p>
    <w:p w14:paraId="7A14C33A" w14:textId="28C94F10" w:rsidR="00D96DB2" w:rsidRPr="001977EE" w:rsidRDefault="008F509F" w:rsidP="00C7086E">
      <w:pPr>
        <w:pStyle w:val="SM111"/>
      </w:pPr>
      <w:r w:rsidRPr="001977EE">
        <w:t xml:space="preserve">The Supplier </w:t>
      </w:r>
      <w:r w:rsidR="00FA0B7A" w:rsidRPr="001977EE">
        <w:t xml:space="preserve">shall ensure that Supplier </w:t>
      </w:r>
      <w:r w:rsidR="00C673CE" w:rsidRPr="001977EE">
        <w:t xml:space="preserve">Personnel </w:t>
      </w:r>
      <w:r w:rsidRPr="001977EE">
        <w:t xml:space="preserve">respond flexibly and within agreed timescales set by the Authority and/or </w:t>
      </w:r>
      <w:r w:rsidR="00615170" w:rsidRPr="001977EE">
        <w:t>Panel Customer</w:t>
      </w:r>
      <w:r w:rsidR="008F28B4" w:rsidRPr="001977EE">
        <w:t>s</w:t>
      </w:r>
      <w:r w:rsidRPr="001977EE">
        <w:t xml:space="preserve"> in response to requests, including changes to planned work.</w:t>
      </w:r>
    </w:p>
    <w:p w14:paraId="09928847" w14:textId="77777777" w:rsidR="00F42D16" w:rsidRPr="001977EE" w:rsidRDefault="00F42D16" w:rsidP="00C7086E">
      <w:pPr>
        <w:pStyle w:val="SM11"/>
        <w:rPr>
          <w:b/>
        </w:rPr>
      </w:pPr>
      <w:r w:rsidRPr="001977EE">
        <w:rPr>
          <w:b/>
        </w:rPr>
        <w:t>Consultation</w:t>
      </w:r>
    </w:p>
    <w:p w14:paraId="5582B72D" w14:textId="14D3FDA5" w:rsidR="005045A9" w:rsidRPr="001977EE" w:rsidRDefault="00B9250C" w:rsidP="002B1DB7">
      <w:pPr>
        <w:pStyle w:val="SM111"/>
      </w:pPr>
      <w:r w:rsidRPr="001977EE">
        <w:t xml:space="preserve">The Supplier shall </w:t>
      </w:r>
      <w:r w:rsidR="00755225" w:rsidRPr="001977EE">
        <w:t xml:space="preserve">provide </w:t>
      </w:r>
      <w:r w:rsidR="00615170" w:rsidRPr="001977EE">
        <w:t>Panel Customer</w:t>
      </w:r>
      <w:r w:rsidR="00F42D16" w:rsidRPr="001977EE">
        <w:t xml:space="preserve">(s) </w:t>
      </w:r>
      <w:r w:rsidR="00755225" w:rsidRPr="001977EE">
        <w:t>with</w:t>
      </w:r>
      <w:r w:rsidR="00F42D16" w:rsidRPr="001977EE">
        <w:t xml:space="preserve"> </w:t>
      </w:r>
      <w:r w:rsidRPr="001977EE">
        <w:t xml:space="preserve">an </w:t>
      </w:r>
      <w:r w:rsidR="00F42D16" w:rsidRPr="001977EE">
        <w:t>initial consultation</w:t>
      </w:r>
      <w:r w:rsidR="00E81574" w:rsidRPr="001977EE">
        <w:t xml:space="preserve"> of up </w:t>
      </w:r>
      <w:r w:rsidR="00C7086E" w:rsidRPr="001977EE">
        <w:t>to two</w:t>
      </w:r>
      <w:r w:rsidR="00E81574" w:rsidRPr="001977EE">
        <w:t xml:space="preserve"> (2</w:t>
      </w:r>
      <w:r w:rsidR="008F28B4" w:rsidRPr="001977EE">
        <w:t>) hours</w:t>
      </w:r>
      <w:r w:rsidR="00F42D16" w:rsidRPr="001977EE">
        <w:t xml:space="preserve"> to discuss </w:t>
      </w:r>
      <w:r w:rsidR="00201633" w:rsidRPr="001977EE">
        <w:t>developing/</w:t>
      </w:r>
      <w:r w:rsidR="00B773CB" w:rsidRPr="001977EE">
        <w:t xml:space="preserve">new </w:t>
      </w:r>
      <w:r w:rsidR="00F42D16" w:rsidRPr="001977EE">
        <w:t>legal matters</w:t>
      </w:r>
      <w:r w:rsidR="00755225" w:rsidRPr="001977EE">
        <w:t xml:space="preserve">, at no cost to the </w:t>
      </w:r>
      <w:r w:rsidR="00615170" w:rsidRPr="001977EE">
        <w:t>Panel Customer</w:t>
      </w:r>
      <w:r w:rsidR="00755225" w:rsidRPr="001977EE">
        <w:t>(s)</w:t>
      </w:r>
      <w:r w:rsidR="00C15D12" w:rsidRPr="001977EE">
        <w:t xml:space="preserve">. </w:t>
      </w:r>
    </w:p>
    <w:p w14:paraId="12BA19B5" w14:textId="77777777" w:rsidR="00DC4E83" w:rsidRPr="001977EE" w:rsidRDefault="00DC4E83" w:rsidP="00C7086E">
      <w:pPr>
        <w:pStyle w:val="SM11"/>
        <w:rPr>
          <w:b/>
        </w:rPr>
      </w:pPr>
      <w:r w:rsidRPr="001977EE">
        <w:rPr>
          <w:b/>
        </w:rPr>
        <w:t>Knowledge Sharing</w:t>
      </w:r>
    </w:p>
    <w:p w14:paraId="0878FEDD" w14:textId="6B9D6037" w:rsidR="00DC4E83" w:rsidRPr="001977EE" w:rsidRDefault="002B1DB7" w:rsidP="00C7086E">
      <w:pPr>
        <w:pStyle w:val="SM111"/>
      </w:pPr>
      <w:r w:rsidRPr="001977EE">
        <w:t xml:space="preserve">The </w:t>
      </w:r>
      <w:r w:rsidR="00DC4E83" w:rsidRPr="001977EE">
        <w:t>Supplier shall make available</w:t>
      </w:r>
      <w:r w:rsidR="005627ED" w:rsidRPr="001977EE">
        <w:t xml:space="preserve"> to </w:t>
      </w:r>
      <w:r w:rsidR="00615170" w:rsidRPr="001977EE">
        <w:t>Panel Customer</w:t>
      </w:r>
      <w:r w:rsidR="005627ED" w:rsidRPr="001977EE">
        <w:t xml:space="preserve">s </w:t>
      </w:r>
      <w:r w:rsidR="00802751" w:rsidRPr="001977EE">
        <w:t>regula</w:t>
      </w:r>
      <w:r w:rsidR="00415154" w:rsidRPr="001977EE">
        <w:t xml:space="preserve">rly and </w:t>
      </w:r>
      <w:r w:rsidR="005627ED" w:rsidRPr="001977EE">
        <w:t>periodically</w:t>
      </w:r>
      <w:r w:rsidR="00DC4E83" w:rsidRPr="001977EE">
        <w:t xml:space="preserve"> </w:t>
      </w:r>
      <w:r w:rsidR="005627ED" w:rsidRPr="001977EE">
        <w:t>throughout the Panel Term</w:t>
      </w:r>
      <w:r w:rsidR="00DC4E83" w:rsidRPr="001977EE">
        <w:t xml:space="preserve">, </w:t>
      </w:r>
      <w:r w:rsidR="00FF402F" w:rsidRPr="001977EE">
        <w:t>free of charge</w:t>
      </w:r>
      <w:r w:rsidR="00DC4E83" w:rsidRPr="001977EE">
        <w:t xml:space="preserve">, via email, printed publication or </w:t>
      </w:r>
      <w:r w:rsidR="002F5FEE" w:rsidRPr="001977EE">
        <w:t xml:space="preserve">other form of </w:t>
      </w:r>
      <w:r w:rsidR="00DC4E83" w:rsidRPr="001977EE">
        <w:t>presentation</w:t>
      </w:r>
      <w:r w:rsidR="002F5FEE" w:rsidRPr="001977EE">
        <w:t xml:space="preserve"> (as appropriate)</w:t>
      </w:r>
      <w:r w:rsidR="005627ED" w:rsidRPr="001977EE">
        <w:t xml:space="preserve">, know-how appropriate to the </w:t>
      </w:r>
      <w:r w:rsidR="00615170" w:rsidRPr="001977EE">
        <w:t>Panel Customer</w:t>
      </w:r>
      <w:r w:rsidR="005627ED" w:rsidRPr="001977EE">
        <w:t xml:space="preserve"> and/or the</w:t>
      </w:r>
      <w:r w:rsidR="00FA0B7A" w:rsidRPr="001977EE">
        <w:t xml:space="preserve"> </w:t>
      </w:r>
      <w:r w:rsidR="005627ED" w:rsidRPr="001977EE">
        <w:t xml:space="preserve">Services provided by the Supplier to </w:t>
      </w:r>
      <w:r w:rsidR="0097085C" w:rsidRPr="001977EE">
        <w:t xml:space="preserve">each </w:t>
      </w:r>
      <w:r w:rsidR="005627ED" w:rsidRPr="001977EE">
        <w:t xml:space="preserve"> </w:t>
      </w:r>
      <w:r w:rsidR="00615170" w:rsidRPr="001977EE">
        <w:t>Panel Customer</w:t>
      </w:r>
      <w:r w:rsidR="00DC4E83" w:rsidRPr="001977EE">
        <w:t xml:space="preserve">. This shall </w:t>
      </w:r>
      <w:r w:rsidR="005627ED" w:rsidRPr="001977EE">
        <w:t>include (without limitation)</w:t>
      </w:r>
      <w:r w:rsidR="00D31F3C" w:rsidRPr="001977EE">
        <w:t>:</w:t>
      </w:r>
    </w:p>
    <w:p w14:paraId="24D60A0D" w14:textId="77777777" w:rsidR="00D31F3C" w:rsidRPr="001977EE" w:rsidRDefault="00D31F3C" w:rsidP="002B1DB7">
      <w:pPr>
        <w:pStyle w:val="SM1111"/>
        <w:ind w:left="1996" w:hanging="862"/>
      </w:pPr>
      <w:r w:rsidRPr="001977EE">
        <w:t>e- briefings, email alerts, hubs and webinars;</w:t>
      </w:r>
    </w:p>
    <w:p w14:paraId="424C5D2E" w14:textId="77777777" w:rsidR="00D31F3C" w:rsidRPr="001977EE" w:rsidRDefault="00D31F3C" w:rsidP="002B1DB7">
      <w:pPr>
        <w:pStyle w:val="SM1111"/>
        <w:ind w:left="1996" w:hanging="862"/>
      </w:pPr>
      <w:r w:rsidRPr="001977EE">
        <w:t>white papers, thought leadership, publications, subscriptions, insights and articles;</w:t>
      </w:r>
    </w:p>
    <w:p w14:paraId="069F79FE" w14:textId="7BCD0990" w:rsidR="00D31F3C" w:rsidRPr="001977EE" w:rsidRDefault="002449A3" w:rsidP="002B1DB7">
      <w:pPr>
        <w:pStyle w:val="SM1111"/>
        <w:ind w:left="1996" w:hanging="862"/>
      </w:pPr>
      <w:r w:rsidRPr="001977EE">
        <w:t xml:space="preserve">invitations and access to </w:t>
      </w:r>
      <w:r w:rsidR="00E35C10" w:rsidRPr="001977EE">
        <w:rPr>
          <w:strike/>
        </w:rPr>
        <w:t>statement of require</w:t>
      </w:r>
      <w:r w:rsidR="00E35C10" w:rsidRPr="001977EE">
        <w:t xml:space="preserve"> </w:t>
      </w:r>
      <w:r w:rsidR="00D31F3C" w:rsidRPr="001977EE">
        <w:t xml:space="preserve">breakfast briefings, seminars, conferences and events; </w:t>
      </w:r>
    </w:p>
    <w:p w14:paraId="2F17B54E" w14:textId="0904DA69" w:rsidR="00D31F3C" w:rsidRPr="001977EE" w:rsidRDefault="00D31F3C" w:rsidP="002B1DB7">
      <w:pPr>
        <w:pStyle w:val="SM1111"/>
        <w:ind w:left="1996" w:hanging="862"/>
      </w:pPr>
      <w:r w:rsidRPr="001977EE">
        <w:t xml:space="preserve">general use of and access to </w:t>
      </w:r>
      <w:r w:rsidR="00413B71" w:rsidRPr="001977EE">
        <w:t xml:space="preserve">the Supplier’s </w:t>
      </w:r>
      <w:r w:rsidRPr="001977EE">
        <w:t xml:space="preserve">physical and electronic </w:t>
      </w:r>
      <w:r w:rsidR="00F501AA" w:rsidRPr="001977EE">
        <w:t xml:space="preserve">reference </w:t>
      </w:r>
      <w:r w:rsidRPr="001977EE">
        <w:t>libraries</w:t>
      </w:r>
      <w:r w:rsidR="00F501AA" w:rsidRPr="001977EE">
        <w:t xml:space="preserve"> </w:t>
      </w:r>
      <w:r w:rsidR="00B53B3E" w:rsidRPr="001977EE">
        <w:t>l</w:t>
      </w:r>
      <w:r w:rsidR="00F501AA" w:rsidRPr="001977EE">
        <w:t>ocated at the Supplier</w:t>
      </w:r>
      <w:r w:rsidR="00FA0B7A" w:rsidRPr="001977EE">
        <w:t>’</w:t>
      </w:r>
      <w:r w:rsidR="00F501AA" w:rsidRPr="001977EE">
        <w:t>s offices, given appropriate security access</w:t>
      </w:r>
      <w:r w:rsidR="00043AAC" w:rsidRPr="001977EE">
        <w:t xml:space="preserve">; and </w:t>
      </w:r>
    </w:p>
    <w:p w14:paraId="7EA64C84" w14:textId="1A3BA392" w:rsidR="00043AAC" w:rsidRPr="001977EE" w:rsidRDefault="00B05F76" w:rsidP="002B1DB7">
      <w:pPr>
        <w:pStyle w:val="SM1111"/>
        <w:ind w:left="1996" w:hanging="862"/>
      </w:pPr>
      <w:proofErr w:type="gramStart"/>
      <w:r w:rsidRPr="001977EE">
        <w:t>invitations</w:t>
      </w:r>
      <w:proofErr w:type="gramEnd"/>
      <w:r w:rsidRPr="001977EE">
        <w:t xml:space="preserve"> to </w:t>
      </w:r>
      <w:r w:rsidR="00C958F3" w:rsidRPr="001977EE">
        <w:t>m</w:t>
      </w:r>
      <w:r w:rsidRPr="001977EE">
        <w:t xml:space="preserve">asterclasses and </w:t>
      </w:r>
      <w:r w:rsidR="00C958F3" w:rsidRPr="001977EE">
        <w:t>i</w:t>
      </w:r>
      <w:r w:rsidRPr="001977EE">
        <w:t>ndustry events</w:t>
      </w:r>
      <w:r w:rsidR="00FA0B7A" w:rsidRPr="001977EE">
        <w:t>,</w:t>
      </w:r>
      <w:r w:rsidRPr="001977EE">
        <w:t xml:space="preserve"> when available. </w:t>
      </w:r>
    </w:p>
    <w:p w14:paraId="197354A8" w14:textId="5DFF94BB" w:rsidR="00DC4E83" w:rsidRPr="001977EE" w:rsidRDefault="0041425D" w:rsidP="00C7086E">
      <w:pPr>
        <w:pStyle w:val="SM111"/>
      </w:pPr>
      <w:r w:rsidRPr="001977EE">
        <w:lastRenderedPageBreak/>
        <w:t xml:space="preserve">The </w:t>
      </w:r>
      <w:r w:rsidR="00DC4E83" w:rsidRPr="001977EE">
        <w:t xml:space="preserve">Supplier shall provide to the Authority </w:t>
      </w:r>
      <w:r w:rsidR="00FA0B7A" w:rsidRPr="001977EE">
        <w:t xml:space="preserve">with </w:t>
      </w:r>
      <w:r w:rsidR="00DC4E83" w:rsidRPr="001977EE">
        <w:t xml:space="preserve">a minimum of </w:t>
      </w:r>
      <w:r w:rsidR="00BD5FF8" w:rsidRPr="001977EE">
        <w:t>ten (</w:t>
      </w:r>
      <w:r w:rsidR="00DC4E83" w:rsidRPr="001977EE">
        <w:t>10</w:t>
      </w:r>
      <w:r w:rsidR="00BD5FF8" w:rsidRPr="001977EE">
        <w:t>)</w:t>
      </w:r>
      <w:r w:rsidR="00DC4E83" w:rsidRPr="001977EE">
        <w:t xml:space="preserve"> </w:t>
      </w:r>
      <w:r w:rsidR="00F501AA" w:rsidRPr="001977EE">
        <w:t xml:space="preserve">days </w:t>
      </w:r>
      <w:r w:rsidR="00DC4E83" w:rsidRPr="001977EE">
        <w:t xml:space="preserve">free training </w:t>
      </w:r>
      <w:r w:rsidR="00C2611F" w:rsidRPr="001977EE">
        <w:t xml:space="preserve">(excluding preparation and travel time) </w:t>
      </w:r>
      <w:r w:rsidR="00C7086E" w:rsidRPr="001977EE">
        <w:t>e</w:t>
      </w:r>
      <w:r w:rsidR="005627ED" w:rsidRPr="001977EE">
        <w:t>very calendar year throughout the Panel Period</w:t>
      </w:r>
      <w:r w:rsidRPr="001977EE">
        <w:t>.</w:t>
      </w:r>
      <w:r w:rsidR="00413B71" w:rsidRPr="001977EE">
        <w:t xml:space="preserve"> </w:t>
      </w:r>
      <w:r w:rsidR="00DC4E83" w:rsidRPr="001977EE">
        <w:t>This training may be bespoke or selected from the Supplier</w:t>
      </w:r>
      <w:r w:rsidR="00130A0C" w:rsidRPr="001977EE">
        <w:t>’</w:t>
      </w:r>
      <w:r w:rsidR="00DC4E83" w:rsidRPr="001977EE">
        <w:t>s current portfolio of training provision</w:t>
      </w:r>
      <w:r w:rsidR="00C2611F" w:rsidRPr="001977EE">
        <w:t xml:space="preserve"> and may be provided </w:t>
      </w:r>
      <w:r w:rsidR="00801187" w:rsidRPr="001977EE">
        <w:t>through various</w:t>
      </w:r>
      <w:r w:rsidR="00C2611F" w:rsidRPr="001977EE">
        <w:t xml:space="preserve"> mediums including but not limited to</w:t>
      </w:r>
      <w:r w:rsidR="00FA0B7A" w:rsidRPr="001977EE">
        <w:t>:</w:t>
      </w:r>
      <w:r w:rsidR="00C2611F" w:rsidRPr="001977EE">
        <w:t xml:space="preserve"> face to face training, e-learning, webinars and toolkits.    </w:t>
      </w:r>
    </w:p>
    <w:p w14:paraId="78836E05" w14:textId="72A5D219" w:rsidR="00D31F3C" w:rsidRPr="001977EE" w:rsidRDefault="00130A0C" w:rsidP="00C7086E">
      <w:pPr>
        <w:pStyle w:val="SM111"/>
      </w:pPr>
      <w:r w:rsidRPr="001977EE">
        <w:t xml:space="preserve">The Supplier </w:t>
      </w:r>
      <w:r w:rsidR="002138B7" w:rsidRPr="001977EE">
        <w:t xml:space="preserve">shall </w:t>
      </w:r>
      <w:r w:rsidRPr="001977EE">
        <w:t xml:space="preserve">provide additional training (beyond that provided to the Authority under paragraph </w:t>
      </w:r>
      <w:r w:rsidR="00FE1CD3" w:rsidRPr="001977EE">
        <w:t>3.11.2</w:t>
      </w:r>
      <w:r w:rsidRPr="001977EE">
        <w:t xml:space="preserve"> (above</w:t>
      </w:r>
      <w:r w:rsidR="00FA0B7A" w:rsidRPr="001977EE">
        <w:t>)</w:t>
      </w:r>
      <w:r w:rsidRPr="001977EE">
        <w:t xml:space="preserve">) to </w:t>
      </w:r>
      <w:r w:rsidR="00615170" w:rsidRPr="001977EE">
        <w:t>Panel Customer</w:t>
      </w:r>
      <w:r w:rsidRPr="001977EE">
        <w:t xml:space="preserve">s upon request. Such training </w:t>
      </w:r>
      <w:r w:rsidR="00FA0B7A" w:rsidRPr="001977EE">
        <w:t>shall</w:t>
      </w:r>
      <w:r w:rsidRPr="001977EE">
        <w:t xml:space="preserve"> be</w:t>
      </w:r>
      <w:r w:rsidR="00D31F3C" w:rsidRPr="001977EE">
        <w:t>:</w:t>
      </w:r>
      <w:r w:rsidRPr="001977EE">
        <w:t xml:space="preserve"> </w:t>
      </w:r>
    </w:p>
    <w:p w14:paraId="6520B079" w14:textId="11B8AA49" w:rsidR="00DC4E83" w:rsidRPr="001977EE" w:rsidRDefault="00130A0C" w:rsidP="000548E3">
      <w:pPr>
        <w:pStyle w:val="SM1111"/>
        <w:ind w:left="1996" w:hanging="862"/>
      </w:pPr>
      <w:r w:rsidRPr="001977EE">
        <w:t xml:space="preserve">tailored to the </w:t>
      </w:r>
      <w:r w:rsidR="00615170" w:rsidRPr="001977EE">
        <w:t>Panel Customer</w:t>
      </w:r>
      <w:r w:rsidRPr="001977EE">
        <w:t>’s specific requirements</w:t>
      </w:r>
      <w:r w:rsidR="00D31F3C" w:rsidRPr="001977EE">
        <w:t xml:space="preserve">, or generic training in the required area, at the </w:t>
      </w:r>
      <w:r w:rsidR="00615170" w:rsidRPr="001977EE">
        <w:t>Panel Customer</w:t>
      </w:r>
      <w:r w:rsidR="00D31F3C" w:rsidRPr="001977EE">
        <w:t>’s request;</w:t>
      </w:r>
    </w:p>
    <w:p w14:paraId="321EF922" w14:textId="36D5AB14" w:rsidR="00D31F3C" w:rsidRPr="001977EE" w:rsidRDefault="00D31F3C" w:rsidP="000548E3">
      <w:pPr>
        <w:pStyle w:val="SM1111"/>
        <w:ind w:left="1996" w:hanging="862"/>
      </w:pPr>
      <w:r w:rsidRPr="001977EE">
        <w:t xml:space="preserve">provided at the </w:t>
      </w:r>
      <w:r w:rsidR="00BD5FF8" w:rsidRPr="001977EE">
        <w:t>S</w:t>
      </w:r>
      <w:r w:rsidRPr="001977EE">
        <w:t xml:space="preserve">upplier’s office, the </w:t>
      </w:r>
      <w:r w:rsidR="00615170" w:rsidRPr="001977EE">
        <w:t>Panel Customer</w:t>
      </w:r>
      <w:r w:rsidRPr="001977EE">
        <w:t xml:space="preserve">’s office, any other government offices or other facility, or via e-learning or other remote delivery system, at the </w:t>
      </w:r>
      <w:r w:rsidR="00615170" w:rsidRPr="001977EE">
        <w:t>Panel Customer</w:t>
      </w:r>
      <w:r w:rsidRPr="001977EE">
        <w:t>’s request; and</w:t>
      </w:r>
    </w:p>
    <w:p w14:paraId="69486BC2" w14:textId="77777777" w:rsidR="00D31F3C" w:rsidRPr="001977EE" w:rsidRDefault="00D31F3C" w:rsidP="000548E3">
      <w:pPr>
        <w:pStyle w:val="SM1111"/>
        <w:ind w:left="1996" w:hanging="862"/>
      </w:pPr>
      <w:proofErr w:type="gramStart"/>
      <w:r w:rsidRPr="001977EE">
        <w:t>charged</w:t>
      </w:r>
      <w:proofErr w:type="gramEnd"/>
      <w:r w:rsidRPr="001977EE">
        <w:t xml:space="preserve"> at </w:t>
      </w:r>
      <w:r w:rsidR="00F2121C" w:rsidRPr="001977EE">
        <w:t xml:space="preserve">no more than </w:t>
      </w:r>
      <w:r w:rsidRPr="001977EE">
        <w:t>the Supplier’s Panel Rates.</w:t>
      </w:r>
    </w:p>
    <w:p w14:paraId="1A5AEC96" w14:textId="5E7A059D" w:rsidR="00DC4E83" w:rsidRPr="001977EE" w:rsidRDefault="00F2121C" w:rsidP="00AC7016">
      <w:pPr>
        <w:pStyle w:val="SM111"/>
      </w:pPr>
      <w:r w:rsidRPr="001977EE">
        <w:t xml:space="preserve">Once </w:t>
      </w:r>
      <w:r w:rsidR="00DE5916" w:rsidRPr="001977EE">
        <w:t>a Legal Services Contract has been performed</w:t>
      </w:r>
      <w:r w:rsidRPr="001977EE">
        <w:t xml:space="preserve"> (or as the </w:t>
      </w:r>
      <w:r w:rsidR="00FA0B7A" w:rsidRPr="001977EE">
        <w:t xml:space="preserve">Panel </w:t>
      </w:r>
      <w:r w:rsidRPr="001977EE">
        <w:t xml:space="preserve">Services </w:t>
      </w:r>
      <w:r w:rsidR="00DE5916" w:rsidRPr="001977EE">
        <w:t xml:space="preserve">to be performed under it </w:t>
      </w:r>
      <w:r w:rsidRPr="001977EE">
        <w:t xml:space="preserve">near completion, as </w:t>
      </w:r>
      <w:r w:rsidR="00DE5916" w:rsidRPr="001977EE">
        <w:t xml:space="preserve">seems appropriate to the </w:t>
      </w:r>
      <w:r w:rsidR="00615170" w:rsidRPr="001977EE">
        <w:t>Panel Customer</w:t>
      </w:r>
      <w:r w:rsidRPr="001977EE">
        <w:t xml:space="preserve"> under the circumstances), the Supplier shall conduct a knowledge transfer exercise where requested to do so by the </w:t>
      </w:r>
      <w:r w:rsidR="00615170" w:rsidRPr="001977EE">
        <w:t>Panel Customer</w:t>
      </w:r>
      <w:r w:rsidRPr="001977EE">
        <w:t>. This exercise shall:</w:t>
      </w:r>
    </w:p>
    <w:p w14:paraId="2D32FAAE" w14:textId="31B2F575" w:rsidR="00F2121C" w:rsidRPr="001977EE" w:rsidRDefault="00F2121C" w:rsidP="000548E3">
      <w:pPr>
        <w:pStyle w:val="SM1111"/>
        <w:ind w:left="1996" w:hanging="862"/>
      </w:pPr>
      <w:r w:rsidRPr="001977EE">
        <w:t xml:space="preserve">document, collate and transfer </w:t>
      </w:r>
      <w:r w:rsidR="00DE5916" w:rsidRPr="001977EE">
        <w:t xml:space="preserve">to the </w:t>
      </w:r>
      <w:r w:rsidR="00615170" w:rsidRPr="001977EE">
        <w:t>Panel Customer</w:t>
      </w:r>
      <w:r w:rsidR="00DE5916" w:rsidRPr="001977EE">
        <w:t xml:space="preserve"> </w:t>
      </w:r>
      <w:r w:rsidRPr="001977EE">
        <w:t>any significant know-how, learning</w:t>
      </w:r>
      <w:r w:rsidR="00DE5916" w:rsidRPr="001977EE">
        <w:t xml:space="preserve"> and/or practices generated, developed and/or used </w:t>
      </w:r>
      <w:r w:rsidR="00241398" w:rsidRPr="001977EE">
        <w:t xml:space="preserve">by the Supplier </w:t>
      </w:r>
      <w:r w:rsidR="00DE5916" w:rsidRPr="001977EE">
        <w:t>during the relevant Legal Services Contract;</w:t>
      </w:r>
    </w:p>
    <w:p w14:paraId="17C7A3EE" w14:textId="268DEDF3" w:rsidR="00DE5916" w:rsidRPr="001977EE" w:rsidRDefault="00DE5916" w:rsidP="000548E3">
      <w:pPr>
        <w:pStyle w:val="SM1111"/>
        <w:ind w:left="1996" w:hanging="862"/>
      </w:pPr>
      <w:r w:rsidRPr="001977EE">
        <w:t xml:space="preserve">compile and transfer to the </w:t>
      </w:r>
      <w:r w:rsidR="00615170" w:rsidRPr="001977EE">
        <w:t>Panel Customer</w:t>
      </w:r>
      <w:r w:rsidRPr="001977EE">
        <w:t xml:space="preserve"> </w:t>
      </w:r>
      <w:r w:rsidR="00537857" w:rsidRPr="001977EE">
        <w:t xml:space="preserve">a </w:t>
      </w:r>
      <w:r w:rsidRPr="001977EE">
        <w:t>document bible</w:t>
      </w:r>
      <w:r w:rsidR="00415154" w:rsidRPr="001977EE">
        <w:t>(s)</w:t>
      </w:r>
      <w:r w:rsidR="00241398" w:rsidRPr="001977EE">
        <w:t xml:space="preserve"> (including electronic versions of the same if the </w:t>
      </w:r>
      <w:r w:rsidR="00615170" w:rsidRPr="001977EE">
        <w:t>Panel Customer</w:t>
      </w:r>
      <w:r w:rsidR="00241398" w:rsidRPr="001977EE">
        <w:t xml:space="preserve"> so requires)</w:t>
      </w:r>
      <w:r w:rsidRPr="001977EE">
        <w:t xml:space="preserve"> comprising the contractual and/or other documents and/or advice generated, developed and/or used</w:t>
      </w:r>
      <w:r w:rsidR="00241398" w:rsidRPr="001977EE">
        <w:t xml:space="preserve"> by the Supplier during the relevant Legal Services Contract;</w:t>
      </w:r>
    </w:p>
    <w:p w14:paraId="60E89635" w14:textId="0A362DAF" w:rsidR="00241398" w:rsidRPr="001977EE" w:rsidRDefault="00241398" w:rsidP="000548E3">
      <w:pPr>
        <w:pStyle w:val="SM1111"/>
        <w:ind w:left="1996" w:hanging="862"/>
      </w:pPr>
      <w:r w:rsidRPr="001977EE">
        <w:t xml:space="preserve">be completed within </w:t>
      </w:r>
      <w:r w:rsidR="006A2B9F" w:rsidRPr="001977EE">
        <w:t xml:space="preserve">one </w:t>
      </w:r>
      <w:r w:rsidRPr="001977EE">
        <w:t>(</w:t>
      </w:r>
      <w:r w:rsidR="006A2B9F" w:rsidRPr="001977EE">
        <w:t>1</w:t>
      </w:r>
      <w:r w:rsidRPr="001977EE">
        <w:t>) calendar month of the</w:t>
      </w:r>
      <w:r w:rsidR="00537857" w:rsidRPr="001977EE">
        <w:t xml:space="preserve"> later of</w:t>
      </w:r>
      <w:r w:rsidRPr="001977EE">
        <w:t xml:space="preserve"> </w:t>
      </w:r>
      <w:r w:rsidR="00537857" w:rsidRPr="001977EE">
        <w:t xml:space="preserve">completion of the relevant </w:t>
      </w:r>
      <w:r w:rsidR="00FA0B7A" w:rsidRPr="001977EE">
        <w:t xml:space="preserve">Panel </w:t>
      </w:r>
      <w:r w:rsidR="00537857" w:rsidRPr="001977EE">
        <w:t xml:space="preserve">Services, the request to conduct the exercise made by the </w:t>
      </w:r>
      <w:r w:rsidR="00615170" w:rsidRPr="001977EE">
        <w:t>Panel Customer</w:t>
      </w:r>
      <w:r w:rsidR="00537857" w:rsidRPr="001977EE">
        <w:t xml:space="preserve"> or the expiry of the relevant Legal Services Contract; and</w:t>
      </w:r>
    </w:p>
    <w:p w14:paraId="55D76AA9" w14:textId="380E32D5" w:rsidR="00537857" w:rsidRPr="001977EE" w:rsidRDefault="00537857" w:rsidP="000548E3">
      <w:pPr>
        <w:pStyle w:val="SM1111"/>
        <w:ind w:left="1996" w:hanging="862"/>
      </w:pPr>
      <w:proofErr w:type="gramStart"/>
      <w:r w:rsidRPr="001977EE">
        <w:t>be</w:t>
      </w:r>
      <w:proofErr w:type="gramEnd"/>
      <w:r w:rsidRPr="001977EE">
        <w:t xml:space="preserve"> performed at no additional cost or charge to the </w:t>
      </w:r>
      <w:r w:rsidR="00615170" w:rsidRPr="001977EE">
        <w:t>Panel Customer</w:t>
      </w:r>
      <w:r w:rsidRPr="001977EE">
        <w:t>.</w:t>
      </w:r>
    </w:p>
    <w:p w14:paraId="099ACD50" w14:textId="16074B1D" w:rsidR="008106EA" w:rsidRPr="001977EE" w:rsidRDefault="008106EA" w:rsidP="008106EA">
      <w:pPr>
        <w:pStyle w:val="SM111"/>
      </w:pPr>
      <w:r w:rsidRPr="001977EE">
        <w:t>The Supplier shall offer free legal advice and training to the Authority, based on the level of expenditure/spend under the Panel Agreement, as set out in Table 4 – free legal advice depending on expenditure percentage of Panel Schedule 3 Charging Structure (Attachment 7).</w:t>
      </w:r>
    </w:p>
    <w:p w14:paraId="58D0C3E8" w14:textId="77777777" w:rsidR="00C1453E" w:rsidRPr="001977EE" w:rsidRDefault="00545285" w:rsidP="00237042">
      <w:pPr>
        <w:pStyle w:val="SM11"/>
        <w:rPr>
          <w:b/>
        </w:rPr>
      </w:pPr>
      <w:r w:rsidRPr="001977EE">
        <w:rPr>
          <w:b/>
        </w:rPr>
        <w:t>Location Requirements</w:t>
      </w:r>
    </w:p>
    <w:p w14:paraId="5BF8889A" w14:textId="0D8EAFB6" w:rsidR="00091A10" w:rsidRPr="001977EE" w:rsidRDefault="00091A10" w:rsidP="00AC7016">
      <w:pPr>
        <w:pStyle w:val="SM111"/>
      </w:pPr>
      <w:r w:rsidRPr="001977EE">
        <w:t xml:space="preserve">The Supplier shall supply </w:t>
      </w:r>
      <w:r w:rsidR="004A7534" w:rsidRPr="001977EE">
        <w:t xml:space="preserve">the </w:t>
      </w:r>
      <w:r w:rsidR="009F4A9E" w:rsidRPr="001977EE">
        <w:t>Ordered Panel Services</w:t>
      </w:r>
      <w:r w:rsidR="00237042" w:rsidRPr="001977EE">
        <w:t xml:space="preserve"> to</w:t>
      </w:r>
      <w:r w:rsidR="00FB793B" w:rsidRPr="001977EE">
        <w:t xml:space="preserve"> </w:t>
      </w:r>
      <w:r w:rsidRPr="001977EE">
        <w:t xml:space="preserve">any </w:t>
      </w:r>
      <w:r w:rsidR="00537857" w:rsidRPr="001977EE">
        <w:t>l</w:t>
      </w:r>
      <w:r w:rsidRPr="001977EE">
        <w:t xml:space="preserve">ocation within England and Wales specified in the </w:t>
      </w:r>
      <w:r w:rsidR="00537857" w:rsidRPr="001977EE">
        <w:t>Legal Services Contract</w:t>
      </w:r>
      <w:r w:rsidRPr="001977EE">
        <w:t xml:space="preserve">.  </w:t>
      </w:r>
    </w:p>
    <w:p w14:paraId="689D564F" w14:textId="3E15EDA0" w:rsidR="00B9250C" w:rsidRPr="001977EE" w:rsidRDefault="00B9250C" w:rsidP="00AC7016">
      <w:pPr>
        <w:pStyle w:val="SM111"/>
      </w:pPr>
      <w:r w:rsidRPr="001977EE">
        <w:t xml:space="preserve">The Supplier shall </w:t>
      </w:r>
      <w:r w:rsidR="00D74AAE" w:rsidRPr="001977EE">
        <w:t xml:space="preserve">be required to </w:t>
      </w:r>
      <w:r w:rsidR="00CB0123" w:rsidRPr="001977EE">
        <w:t>make available</w:t>
      </w:r>
      <w:r w:rsidR="002A2D9C" w:rsidRPr="001977EE">
        <w:t>,</w:t>
      </w:r>
      <w:r w:rsidR="00CB0123" w:rsidRPr="001977EE">
        <w:t xml:space="preserve"> if required</w:t>
      </w:r>
      <w:r w:rsidR="002A2D9C" w:rsidRPr="001977EE">
        <w:t>,</w:t>
      </w:r>
      <w:r w:rsidR="00CB0123" w:rsidRPr="001977EE">
        <w:t xml:space="preserve"> </w:t>
      </w:r>
      <w:r w:rsidR="00D74AAE" w:rsidRPr="001977EE">
        <w:t xml:space="preserve">three (3) </w:t>
      </w:r>
      <w:r w:rsidRPr="001977EE">
        <w:t xml:space="preserve">serviced meeting rooms including refreshments, to support </w:t>
      </w:r>
      <w:r w:rsidR="002547D9" w:rsidRPr="001977EE">
        <w:t>its performance of Legal Services Contracts</w:t>
      </w:r>
      <w:r w:rsidR="00F105AD" w:rsidRPr="001977EE">
        <w:t xml:space="preserve"> and available for </w:t>
      </w:r>
      <w:r w:rsidR="00615170" w:rsidRPr="001977EE">
        <w:t>Panel Customer</w:t>
      </w:r>
      <w:r w:rsidR="00F105AD" w:rsidRPr="001977EE">
        <w:t>s to use</w:t>
      </w:r>
      <w:r w:rsidRPr="001977EE">
        <w:t>, in Central London and/or</w:t>
      </w:r>
      <w:r w:rsidR="00835F18" w:rsidRPr="001977EE">
        <w:t>, if the Supplier has proximate offices,</w:t>
      </w:r>
      <w:r w:rsidRPr="001977EE">
        <w:t xml:space="preserve"> the </w:t>
      </w:r>
      <w:r w:rsidR="002547D9" w:rsidRPr="001977EE">
        <w:t>l</w:t>
      </w:r>
      <w:r w:rsidRPr="001977EE">
        <w:t>ocation</w:t>
      </w:r>
      <w:r w:rsidR="002547D9" w:rsidRPr="001977EE">
        <w:t xml:space="preserve"> specified by the </w:t>
      </w:r>
      <w:r w:rsidR="00615170" w:rsidRPr="001977EE">
        <w:t>Panel Customer</w:t>
      </w:r>
      <w:r w:rsidRPr="001977EE">
        <w:t xml:space="preserve"> for the delivery of </w:t>
      </w:r>
      <w:r w:rsidR="002547D9" w:rsidRPr="001977EE">
        <w:t>t</w:t>
      </w:r>
      <w:r w:rsidR="004A7534" w:rsidRPr="001977EE">
        <w:t xml:space="preserve">he </w:t>
      </w:r>
      <w:r w:rsidR="009F4A9E" w:rsidRPr="001977EE">
        <w:t>Ordered Panel Services</w:t>
      </w:r>
      <w:r w:rsidR="00835F18" w:rsidRPr="001977EE">
        <w:t>.</w:t>
      </w:r>
      <w:r w:rsidRPr="001977EE">
        <w:t xml:space="preserve"> </w:t>
      </w:r>
      <w:r w:rsidR="00091A10" w:rsidRPr="001977EE">
        <w:t>The</w:t>
      </w:r>
      <w:r w:rsidR="00AF36A7" w:rsidRPr="001977EE">
        <w:t xml:space="preserve"> requirement to supply</w:t>
      </w:r>
      <w:r w:rsidR="00091A10" w:rsidRPr="001977EE">
        <w:t xml:space="preserve"> meeting rooms </w:t>
      </w:r>
      <w:r w:rsidR="00AF36A7" w:rsidRPr="001977EE">
        <w:t xml:space="preserve">in London </w:t>
      </w:r>
      <w:r w:rsidR="00091A10" w:rsidRPr="001977EE">
        <w:t xml:space="preserve">may be at the Supplier’s own offices or at other premises acquired </w:t>
      </w:r>
      <w:r w:rsidR="002547D9" w:rsidRPr="001977EE">
        <w:t xml:space="preserve">by the Supplier </w:t>
      </w:r>
      <w:r w:rsidR="00091A10" w:rsidRPr="001977EE">
        <w:t xml:space="preserve">temporarily for this </w:t>
      </w:r>
      <w:r w:rsidR="00091A10" w:rsidRPr="001977EE">
        <w:lastRenderedPageBreak/>
        <w:t>purpose.</w:t>
      </w:r>
      <w:r w:rsidR="00835F18" w:rsidRPr="001977EE">
        <w:t xml:space="preserve"> The Supplier may not make any additional charge </w:t>
      </w:r>
      <w:r w:rsidR="002547D9" w:rsidRPr="001977EE">
        <w:t xml:space="preserve">(over and above the Charges) </w:t>
      </w:r>
      <w:r w:rsidR="00835F18" w:rsidRPr="001977EE">
        <w:t xml:space="preserve">for the provision of meeting rooms, including those used for side negotiations or </w:t>
      </w:r>
      <w:r w:rsidR="00615170" w:rsidRPr="001977EE">
        <w:t>Panel Customer</w:t>
      </w:r>
      <w:r w:rsidR="00835F18" w:rsidRPr="001977EE">
        <w:t xml:space="preserve"> </w:t>
      </w:r>
      <w:r w:rsidR="002547D9" w:rsidRPr="001977EE">
        <w:t>/ Supplier</w:t>
      </w:r>
      <w:r w:rsidR="00835F18" w:rsidRPr="001977EE">
        <w:t xml:space="preserve"> discussions.</w:t>
      </w:r>
    </w:p>
    <w:p w14:paraId="7704F0C8" w14:textId="45FC10BB" w:rsidR="001A7DFD" w:rsidRPr="001977EE" w:rsidRDefault="001A7DFD" w:rsidP="00AC7016">
      <w:pPr>
        <w:pStyle w:val="SM111"/>
      </w:pPr>
      <w:r w:rsidRPr="001977EE">
        <w:t>The Supplier shall provide virtual and physical</w:t>
      </w:r>
      <w:r w:rsidR="00835F18" w:rsidRPr="001977EE">
        <w:t xml:space="preserve"> storage and</w:t>
      </w:r>
      <w:r w:rsidRPr="001977EE">
        <w:t xml:space="preserve"> ‘data rooms’</w:t>
      </w:r>
      <w:r w:rsidR="00046E15" w:rsidRPr="001977EE">
        <w:t>, as requested to</w:t>
      </w:r>
      <w:r w:rsidR="007B1912" w:rsidRPr="001977EE">
        <w:t xml:space="preserve"> do so by </w:t>
      </w:r>
      <w:r w:rsidR="00615170" w:rsidRPr="001977EE">
        <w:t>Panel Customer</w:t>
      </w:r>
      <w:r w:rsidR="00F105AD" w:rsidRPr="001977EE">
        <w:t>s</w:t>
      </w:r>
      <w:r w:rsidR="007B1912" w:rsidRPr="001977EE">
        <w:t>, to</w:t>
      </w:r>
      <w:r w:rsidR="00046E15" w:rsidRPr="001977EE">
        <w:t xml:space="preserve"> support its performance of Legal Services Contracts</w:t>
      </w:r>
      <w:r w:rsidR="007B1912" w:rsidRPr="001977EE">
        <w:t>,</w:t>
      </w:r>
      <w:r w:rsidRPr="001977EE">
        <w:t xml:space="preserve"> to securely store items including but not limited</w:t>
      </w:r>
      <w:r w:rsidR="002547D9" w:rsidRPr="001977EE">
        <w:t xml:space="preserve"> to</w:t>
      </w:r>
      <w:r w:rsidRPr="001977EE">
        <w:t xml:space="preserve"> procurement documentation</w:t>
      </w:r>
      <w:r w:rsidR="00835F18" w:rsidRPr="001977EE">
        <w:t xml:space="preserve">, </w:t>
      </w:r>
      <w:r w:rsidR="002547D9" w:rsidRPr="001977EE">
        <w:t xml:space="preserve">contractual documentation, </w:t>
      </w:r>
      <w:r w:rsidR="00835F18" w:rsidRPr="001977EE">
        <w:t>deeds</w:t>
      </w:r>
      <w:r w:rsidR="0095363A" w:rsidRPr="001977EE">
        <w:t>,</w:t>
      </w:r>
      <w:r w:rsidRPr="001977EE">
        <w:t xml:space="preserve"> and due diligence</w:t>
      </w:r>
      <w:r w:rsidR="00835F18" w:rsidRPr="001977EE">
        <w:t xml:space="preserve"> documentation</w:t>
      </w:r>
      <w:r w:rsidRPr="001977EE">
        <w:t xml:space="preserve">, </w:t>
      </w:r>
      <w:r w:rsidR="00835F18" w:rsidRPr="001977EE">
        <w:t xml:space="preserve">at no additional cost to the </w:t>
      </w:r>
      <w:r w:rsidR="00615170" w:rsidRPr="001977EE">
        <w:t>Panel Customer</w:t>
      </w:r>
      <w:r w:rsidRPr="001977EE">
        <w:t xml:space="preserve">. </w:t>
      </w:r>
    </w:p>
    <w:p w14:paraId="139631EE" w14:textId="49825F26" w:rsidR="00B9250C" w:rsidRPr="001977EE" w:rsidRDefault="00B9250C" w:rsidP="00AC7016">
      <w:pPr>
        <w:pStyle w:val="SM111"/>
      </w:pPr>
      <w:r w:rsidRPr="001977EE">
        <w:t>The Supplier shall have</w:t>
      </w:r>
      <w:r w:rsidR="007B1912" w:rsidRPr="001977EE">
        <w:t xml:space="preserve"> available and </w:t>
      </w:r>
      <w:r w:rsidR="002A0C15" w:rsidRPr="001977EE">
        <w:t xml:space="preserve">shall </w:t>
      </w:r>
      <w:r w:rsidR="007B1912" w:rsidRPr="001977EE">
        <w:t>maintain</w:t>
      </w:r>
      <w:r w:rsidRPr="001977EE">
        <w:t xml:space="preserve"> </w:t>
      </w:r>
      <w:r w:rsidR="007B1912" w:rsidRPr="001977EE">
        <w:t>internet</w:t>
      </w:r>
      <w:r w:rsidR="00FA7E4D" w:rsidRPr="001977EE">
        <w:t>,</w:t>
      </w:r>
      <w:r w:rsidR="00A34CA3" w:rsidRPr="001977EE">
        <w:t xml:space="preserve"> </w:t>
      </w:r>
      <w:r w:rsidRPr="001977EE">
        <w:t>tele</w:t>
      </w:r>
      <w:r w:rsidR="00FF402F" w:rsidRPr="001977EE">
        <w:t xml:space="preserve">phone </w:t>
      </w:r>
      <w:r w:rsidRPr="001977EE">
        <w:t xml:space="preserve">and video conferencing facilities for the delivery of </w:t>
      </w:r>
      <w:r w:rsidR="007B1912" w:rsidRPr="001977EE">
        <w:t>t</w:t>
      </w:r>
      <w:r w:rsidR="004A7534" w:rsidRPr="001977EE">
        <w:t xml:space="preserve">he </w:t>
      </w:r>
      <w:r w:rsidR="002A0C15" w:rsidRPr="001977EE">
        <w:t xml:space="preserve">Panel </w:t>
      </w:r>
      <w:r w:rsidR="004A7534" w:rsidRPr="001977EE">
        <w:t>Services</w:t>
      </w:r>
      <w:r w:rsidRPr="001977EE">
        <w:t xml:space="preserve">, </w:t>
      </w:r>
      <w:r w:rsidR="00835F18" w:rsidRPr="001977EE">
        <w:t xml:space="preserve">and shall make no additional charge for </w:t>
      </w:r>
      <w:r w:rsidR="007B1912" w:rsidRPr="001977EE">
        <w:t>use of the same in performing Legal Services Contracts</w:t>
      </w:r>
      <w:r w:rsidRPr="001977EE">
        <w:t xml:space="preserve">. </w:t>
      </w:r>
    </w:p>
    <w:p w14:paraId="040621F3" w14:textId="77777777" w:rsidR="00B9250C" w:rsidRPr="001977EE" w:rsidRDefault="00B9250C" w:rsidP="00AC7016">
      <w:pPr>
        <w:pStyle w:val="SM11"/>
        <w:rPr>
          <w:b/>
        </w:rPr>
      </w:pPr>
      <w:r w:rsidRPr="001977EE">
        <w:rPr>
          <w:b/>
        </w:rPr>
        <w:t>Travel and Related Expenses</w:t>
      </w:r>
    </w:p>
    <w:p w14:paraId="7A511A60" w14:textId="38F5A3D2" w:rsidR="0055480B" w:rsidRPr="001977EE" w:rsidRDefault="00513063" w:rsidP="00AC7016">
      <w:pPr>
        <w:pStyle w:val="SM111"/>
      </w:pPr>
      <w:r w:rsidRPr="001977EE">
        <w:t>The Supplier acknowledges and agrees that t</w:t>
      </w:r>
      <w:r w:rsidR="0055480B" w:rsidRPr="001977EE">
        <w:t>ravel time</w:t>
      </w:r>
      <w:r w:rsidR="00C21352" w:rsidRPr="001977EE">
        <w:t>,</w:t>
      </w:r>
      <w:r w:rsidR="00920218" w:rsidRPr="001977EE">
        <w:t xml:space="preserve"> travel costs,</w:t>
      </w:r>
      <w:r w:rsidR="00C21352" w:rsidRPr="001977EE">
        <w:t xml:space="preserve"> secretarial support and photocopying</w:t>
      </w:r>
      <w:r w:rsidR="0055480B" w:rsidRPr="001977EE">
        <w:t xml:space="preserve"> </w:t>
      </w:r>
      <w:r w:rsidRPr="001977EE">
        <w:t>shall</w:t>
      </w:r>
      <w:r w:rsidR="0055480B" w:rsidRPr="001977EE">
        <w:t xml:space="preserve"> not be chargeable</w:t>
      </w:r>
      <w:r w:rsidR="00920218" w:rsidRPr="001977EE">
        <w:t xml:space="preserve"> unless agreed otherwise</w:t>
      </w:r>
      <w:r w:rsidR="004E7F76" w:rsidRPr="001977EE">
        <w:t xml:space="preserve"> by </w:t>
      </w:r>
      <w:r w:rsidR="00615170" w:rsidRPr="001977EE">
        <w:t>Panel Customer</w:t>
      </w:r>
      <w:r w:rsidR="004E7F76" w:rsidRPr="001977EE">
        <w:t>s in the Legal Services Contract</w:t>
      </w:r>
      <w:r w:rsidR="0055480B" w:rsidRPr="001977EE">
        <w:t>.</w:t>
      </w:r>
    </w:p>
    <w:p w14:paraId="146DD06F" w14:textId="07515E5B" w:rsidR="0055480B" w:rsidRPr="001977EE" w:rsidRDefault="0055480B" w:rsidP="00AC7016">
      <w:pPr>
        <w:pStyle w:val="SM111"/>
      </w:pPr>
      <w:r w:rsidRPr="001977EE">
        <w:t xml:space="preserve">The </w:t>
      </w:r>
      <w:r w:rsidR="004E7F76" w:rsidRPr="001977EE">
        <w:t xml:space="preserve">Supplier </w:t>
      </w:r>
      <w:r w:rsidR="00513063" w:rsidRPr="001977EE">
        <w:t>shall</w:t>
      </w:r>
      <w:r w:rsidR="004E7F76" w:rsidRPr="001977EE">
        <w:t xml:space="preserve"> comply with the </w:t>
      </w:r>
      <w:r w:rsidR="00615170" w:rsidRPr="001977EE">
        <w:t>Panel Customer</w:t>
      </w:r>
      <w:r w:rsidRPr="001977EE">
        <w:t>(s) travel requirements</w:t>
      </w:r>
      <w:r w:rsidR="004E7F76" w:rsidRPr="001977EE">
        <w:t xml:space="preserve"> and instructions</w:t>
      </w:r>
      <w:r w:rsidRPr="001977EE">
        <w:t>, policies and arrangements for travel cost</w:t>
      </w:r>
      <w:r w:rsidR="004E7F76" w:rsidRPr="001977EE">
        <w:t>s</w:t>
      </w:r>
      <w:r w:rsidRPr="001977EE">
        <w:t xml:space="preserve"> and related charges </w:t>
      </w:r>
      <w:r w:rsidR="004E7F76" w:rsidRPr="001977EE">
        <w:t xml:space="preserve">set out </w:t>
      </w:r>
      <w:r w:rsidRPr="001977EE">
        <w:t xml:space="preserve">in the </w:t>
      </w:r>
      <w:r w:rsidR="007B1912" w:rsidRPr="001977EE">
        <w:t>Legal Services Contract or otherwise by notice to the Supplier</w:t>
      </w:r>
      <w:r w:rsidR="00BD1008" w:rsidRPr="001977EE">
        <w:t xml:space="preserve"> from time to time</w:t>
      </w:r>
      <w:r w:rsidRPr="001977EE">
        <w:t xml:space="preserve">. </w:t>
      </w:r>
    </w:p>
    <w:p w14:paraId="53E1FA08" w14:textId="6A1BC462" w:rsidR="0055480B" w:rsidRPr="001977EE" w:rsidRDefault="0055480B" w:rsidP="00AC7016">
      <w:pPr>
        <w:pStyle w:val="SM111"/>
      </w:pPr>
      <w:r w:rsidRPr="001977EE">
        <w:t xml:space="preserve">The </w:t>
      </w:r>
      <w:r w:rsidR="00615170" w:rsidRPr="001977EE">
        <w:t>Panel Customer</w:t>
      </w:r>
      <w:r w:rsidRPr="001977EE">
        <w:t xml:space="preserve">(s) will specify any disbursements arrangements in the </w:t>
      </w:r>
      <w:r w:rsidR="007B1912" w:rsidRPr="001977EE">
        <w:t xml:space="preserve">Legal Services Contracts </w:t>
      </w:r>
      <w:r w:rsidR="00BD1008" w:rsidRPr="001977EE">
        <w:t xml:space="preserve">or otherwise </w:t>
      </w:r>
      <w:r w:rsidR="007B1912" w:rsidRPr="001977EE">
        <w:t>by notice to the Supplier</w:t>
      </w:r>
      <w:r w:rsidR="00BD1008" w:rsidRPr="001977EE">
        <w:t xml:space="preserve"> from time to time</w:t>
      </w:r>
      <w:r w:rsidRPr="001977EE">
        <w:t>.</w:t>
      </w:r>
    </w:p>
    <w:p w14:paraId="1F41D83B" w14:textId="77777777" w:rsidR="00B9250C" w:rsidRPr="001977EE" w:rsidRDefault="00FA7E4D" w:rsidP="00AC7016">
      <w:pPr>
        <w:pStyle w:val="SM11"/>
        <w:rPr>
          <w:b/>
        </w:rPr>
      </w:pPr>
      <w:r w:rsidRPr="001977EE">
        <w:rPr>
          <w:b/>
        </w:rPr>
        <w:t>Panel Agreement</w:t>
      </w:r>
      <w:r w:rsidR="00545285" w:rsidRPr="001977EE">
        <w:rPr>
          <w:b/>
        </w:rPr>
        <w:t xml:space="preserve"> </w:t>
      </w:r>
      <w:r w:rsidR="00B9250C" w:rsidRPr="001977EE">
        <w:rPr>
          <w:b/>
        </w:rPr>
        <w:t>Standards</w:t>
      </w:r>
    </w:p>
    <w:p w14:paraId="3C11024F" w14:textId="579D7557" w:rsidR="00380354" w:rsidRPr="001977EE" w:rsidRDefault="00380354" w:rsidP="00D50D58">
      <w:pPr>
        <w:pStyle w:val="SM111"/>
      </w:pPr>
      <w:r w:rsidRPr="001977EE">
        <w:t xml:space="preserve">The Supplier shall at all times during the </w:t>
      </w:r>
      <w:r w:rsidR="003554A9" w:rsidRPr="001977EE">
        <w:t>Panel</w:t>
      </w:r>
      <w:r w:rsidRPr="001977EE">
        <w:t xml:space="preserve"> Period and </w:t>
      </w:r>
      <w:r w:rsidR="00750AC4" w:rsidRPr="001977EE">
        <w:t xml:space="preserve">during the term of </w:t>
      </w:r>
      <w:r w:rsidRPr="001977EE">
        <w:t xml:space="preserve">any </w:t>
      </w:r>
      <w:r w:rsidR="00750AC4" w:rsidRPr="001977EE">
        <w:t>Legal Services Contract</w:t>
      </w:r>
      <w:r w:rsidR="00513063" w:rsidRPr="001977EE">
        <w:t>,</w:t>
      </w:r>
      <w:r w:rsidRPr="001977EE">
        <w:t xml:space="preserve"> comply with the following standards or the successors of these standards:</w:t>
      </w:r>
    </w:p>
    <w:p w14:paraId="73927759" w14:textId="381D2236" w:rsidR="00750AC4" w:rsidRPr="001977EE" w:rsidRDefault="00750AC4" w:rsidP="000548E3">
      <w:pPr>
        <w:pStyle w:val="SM1111"/>
        <w:ind w:left="1996" w:hanging="862"/>
      </w:pPr>
      <w:r w:rsidRPr="001977EE">
        <w:t>ISO 9001 Quality Management Systems or equivalent;</w:t>
      </w:r>
    </w:p>
    <w:p w14:paraId="54F98BB0" w14:textId="50B63C2C" w:rsidR="00750AC4" w:rsidRPr="001977EE" w:rsidRDefault="00750AC4" w:rsidP="000548E3">
      <w:pPr>
        <w:pStyle w:val="SM1111"/>
        <w:ind w:left="1996" w:hanging="862"/>
      </w:pPr>
      <w:r w:rsidRPr="001977EE">
        <w:t>ISO/IEC 27001 Information Security Management System or equivalent;</w:t>
      </w:r>
    </w:p>
    <w:p w14:paraId="0470D09C" w14:textId="0EFDB2B9" w:rsidR="00155D81" w:rsidRPr="001977EE" w:rsidRDefault="00155D81" w:rsidP="000548E3">
      <w:pPr>
        <w:pStyle w:val="SM1111"/>
        <w:ind w:left="1996" w:hanging="862"/>
      </w:pPr>
      <w:r w:rsidRPr="001977EE">
        <w:t xml:space="preserve">ISO/IEC 27002:2013 </w:t>
      </w:r>
      <w:r w:rsidR="00750AC4" w:rsidRPr="001977EE">
        <w:t xml:space="preserve">Information Technology </w:t>
      </w:r>
      <w:r w:rsidR="000340B4" w:rsidRPr="001977EE">
        <w:t>–</w:t>
      </w:r>
      <w:r w:rsidR="00750AC4" w:rsidRPr="001977EE">
        <w:t xml:space="preserve"> Security</w:t>
      </w:r>
      <w:r w:rsidR="000340B4" w:rsidRPr="001977EE">
        <w:t xml:space="preserve"> </w:t>
      </w:r>
      <w:r w:rsidR="00750AC4" w:rsidRPr="001977EE">
        <w:t xml:space="preserve">Techniques </w:t>
      </w:r>
      <w:r w:rsidR="000340B4" w:rsidRPr="001977EE">
        <w:t>–</w:t>
      </w:r>
      <w:r w:rsidR="00750AC4" w:rsidRPr="001977EE">
        <w:t xml:space="preserve"> Code</w:t>
      </w:r>
      <w:r w:rsidR="000340B4" w:rsidRPr="001977EE">
        <w:t xml:space="preserve"> </w:t>
      </w:r>
      <w:r w:rsidR="00750AC4" w:rsidRPr="001977EE">
        <w:t xml:space="preserve">of Practice for </w:t>
      </w:r>
      <w:r w:rsidRPr="001977EE">
        <w:t xml:space="preserve">information security controls </w:t>
      </w:r>
    </w:p>
    <w:p w14:paraId="76FF92D6" w14:textId="6B1CD443" w:rsidR="00750AC4" w:rsidRPr="001977EE" w:rsidRDefault="00155D81" w:rsidP="000548E3">
      <w:pPr>
        <w:pStyle w:val="SM1111"/>
        <w:ind w:left="1996" w:hanging="862"/>
      </w:pPr>
      <w:r w:rsidRPr="001977EE">
        <w:t>ISO/IEC 27031:2011 Information technology</w:t>
      </w:r>
      <w:r w:rsidR="000548E3" w:rsidRPr="001977EE">
        <w:t xml:space="preserve"> </w:t>
      </w:r>
      <w:r w:rsidR="000340B4" w:rsidRPr="001977EE">
        <w:t>–</w:t>
      </w:r>
      <w:r w:rsidRPr="001977EE">
        <w:t xml:space="preserve"> Security</w:t>
      </w:r>
      <w:r w:rsidR="000340B4" w:rsidRPr="001977EE">
        <w:t xml:space="preserve"> </w:t>
      </w:r>
      <w:r w:rsidRPr="001977EE">
        <w:t>techniques – Guidelines for information and communication technology readiness for business continuity</w:t>
      </w:r>
      <w:r w:rsidR="00750AC4" w:rsidRPr="001977EE">
        <w:t>;</w:t>
      </w:r>
    </w:p>
    <w:p w14:paraId="45B1155A" w14:textId="4C07ECAD" w:rsidR="00155D81" w:rsidRPr="001977EE" w:rsidRDefault="00155D81" w:rsidP="000548E3">
      <w:pPr>
        <w:pStyle w:val="SM1111"/>
        <w:ind w:left="1996" w:hanging="862"/>
      </w:pPr>
      <w:r w:rsidRPr="001977EE">
        <w:t>ISO/IEC 22301:2012 Business Continuity Management</w:t>
      </w:r>
      <w:r w:rsidR="006D7090" w:rsidRPr="001977EE">
        <w:t>; and</w:t>
      </w:r>
    </w:p>
    <w:p w14:paraId="3CF8AF60" w14:textId="7CF1206D" w:rsidR="00750AC4" w:rsidRPr="001977EE" w:rsidRDefault="00155D81" w:rsidP="000548E3">
      <w:pPr>
        <w:pStyle w:val="SM1111"/>
        <w:ind w:left="1996" w:hanging="862"/>
      </w:pPr>
      <w:r w:rsidRPr="001977EE">
        <w:t xml:space="preserve">ISO/IEC 22313:2012 Societal </w:t>
      </w:r>
      <w:r w:rsidR="000340B4" w:rsidRPr="001977EE">
        <w:t>S</w:t>
      </w:r>
      <w:r w:rsidRPr="001977EE">
        <w:t xml:space="preserve">ecurity </w:t>
      </w:r>
      <w:r w:rsidR="000340B4" w:rsidRPr="001977EE">
        <w:t xml:space="preserve">– </w:t>
      </w:r>
      <w:r w:rsidRPr="001977EE">
        <w:t>Business</w:t>
      </w:r>
      <w:r w:rsidR="000340B4" w:rsidRPr="001977EE">
        <w:t xml:space="preserve"> </w:t>
      </w:r>
      <w:r w:rsidRPr="001977EE">
        <w:t>continuity management systems – Guidance</w:t>
      </w:r>
      <w:r w:rsidR="000340B4" w:rsidRPr="001977EE">
        <w:t>.</w:t>
      </w:r>
    </w:p>
    <w:p w14:paraId="06D14385" w14:textId="77777777" w:rsidR="000D1381" w:rsidRPr="001977EE" w:rsidRDefault="00C65AC9" w:rsidP="00471076">
      <w:pPr>
        <w:pStyle w:val="SM11"/>
        <w:rPr>
          <w:b/>
        </w:rPr>
      </w:pPr>
      <w:r w:rsidRPr="001977EE">
        <w:rPr>
          <w:b/>
        </w:rPr>
        <w:t xml:space="preserve">Relationship Management </w:t>
      </w:r>
    </w:p>
    <w:p w14:paraId="2514C562" w14:textId="72E70AAA" w:rsidR="000D1381" w:rsidRPr="001977EE" w:rsidRDefault="000D1381" w:rsidP="00471076">
      <w:pPr>
        <w:pStyle w:val="SM111"/>
        <w:rPr>
          <w:b/>
        </w:rPr>
      </w:pPr>
      <w:r w:rsidRPr="001977EE">
        <w:rPr>
          <w:rFonts w:eastAsia="Times New Roman"/>
        </w:rPr>
        <w:t xml:space="preserve">It is the intention to operate a proactive and effective Supplier Relationship </w:t>
      </w:r>
      <w:r w:rsidR="002A0C15" w:rsidRPr="001977EE">
        <w:rPr>
          <w:rFonts w:eastAsia="Times New Roman"/>
        </w:rPr>
        <w:t xml:space="preserve">Management </w:t>
      </w:r>
      <w:r w:rsidR="00E04BAD" w:rsidRPr="001977EE">
        <w:rPr>
          <w:rFonts w:eastAsia="Times New Roman"/>
        </w:rPr>
        <w:t>Programme</w:t>
      </w:r>
      <w:r w:rsidRPr="001977EE">
        <w:rPr>
          <w:rFonts w:eastAsia="Times New Roman"/>
        </w:rPr>
        <w:t xml:space="preserve"> </w:t>
      </w:r>
      <w:r w:rsidR="002A0C15" w:rsidRPr="001977EE">
        <w:rPr>
          <w:rFonts w:eastAsia="Times New Roman"/>
        </w:rPr>
        <w:t>in line</w:t>
      </w:r>
      <w:r w:rsidRPr="001977EE">
        <w:rPr>
          <w:rFonts w:eastAsia="Times New Roman"/>
        </w:rPr>
        <w:t xml:space="preserve"> with the Pan Government Initiative</w:t>
      </w:r>
      <w:r w:rsidR="00F32E44" w:rsidRPr="001977EE">
        <w:rPr>
          <w:rFonts w:eastAsia="Times New Roman"/>
        </w:rPr>
        <w:t xml:space="preserve"> for this Panel Agreement. </w:t>
      </w:r>
      <w:r w:rsidRPr="001977EE">
        <w:t xml:space="preserve">The Supplier </w:t>
      </w:r>
      <w:r w:rsidR="000340B4" w:rsidRPr="001977EE">
        <w:t xml:space="preserve">is required to </w:t>
      </w:r>
      <w:r w:rsidRPr="001977EE">
        <w:t>nominate an appropriate representative</w:t>
      </w:r>
      <w:r w:rsidR="00F32E44" w:rsidRPr="001977EE">
        <w:t xml:space="preserve"> to participate in this process. </w:t>
      </w:r>
    </w:p>
    <w:p w14:paraId="4AC86B2F" w14:textId="7071B0B9" w:rsidR="00C65AC9" w:rsidRPr="001977EE" w:rsidRDefault="000D1381" w:rsidP="00471076">
      <w:pPr>
        <w:pStyle w:val="SM111"/>
      </w:pPr>
      <w:r w:rsidRPr="001977EE">
        <w:t xml:space="preserve">The Supplier shall provide the Authority with a nominated and appropriate representative, with relevant and appropriate experience, authorised to act </w:t>
      </w:r>
      <w:r w:rsidR="007E7DCF" w:rsidRPr="001977EE">
        <w:t xml:space="preserve">as its </w:t>
      </w:r>
      <w:r w:rsidR="00153F1E" w:rsidRPr="001977EE">
        <w:t xml:space="preserve">Supplier Relationship </w:t>
      </w:r>
      <w:r w:rsidR="00D50D58" w:rsidRPr="001977EE">
        <w:t>Manager at</w:t>
      </w:r>
      <w:r w:rsidR="007E7DCF" w:rsidRPr="001977EE">
        <w:t xml:space="preserve"> the time of</w:t>
      </w:r>
      <w:r w:rsidRPr="001977EE">
        <w:t xml:space="preserve"> signing the Panel Agreement</w:t>
      </w:r>
      <w:r w:rsidR="007E7DCF" w:rsidRPr="001977EE">
        <w:t>.</w:t>
      </w:r>
      <w:r w:rsidR="00C65AC9" w:rsidRPr="001977EE">
        <w:t xml:space="preserve"> </w:t>
      </w:r>
    </w:p>
    <w:p w14:paraId="05C4C56A" w14:textId="33B11987" w:rsidR="007E7DCF" w:rsidRPr="001977EE" w:rsidRDefault="00FB6439" w:rsidP="00471076">
      <w:pPr>
        <w:pStyle w:val="SM111"/>
      </w:pPr>
      <w:r w:rsidRPr="001977EE">
        <w:lastRenderedPageBreak/>
        <w:t xml:space="preserve">The Supplier shall actively participate </w:t>
      </w:r>
      <w:r w:rsidR="00EB2E43" w:rsidRPr="001977EE">
        <w:t xml:space="preserve">within the </w:t>
      </w:r>
      <w:r w:rsidR="007E7DCF" w:rsidRPr="001977EE">
        <w:t>intended</w:t>
      </w:r>
      <w:r w:rsidR="00EB2E43" w:rsidRPr="001977EE">
        <w:t xml:space="preserve"> </w:t>
      </w:r>
      <w:r w:rsidR="007E7DCF" w:rsidRPr="001977EE">
        <w:t>S</w:t>
      </w:r>
      <w:r w:rsidR="00153F1E" w:rsidRPr="001977EE">
        <w:t xml:space="preserve">upplier </w:t>
      </w:r>
      <w:r w:rsidR="007E7DCF" w:rsidRPr="001977EE">
        <w:t>R</w:t>
      </w:r>
      <w:r w:rsidR="00E04BAD" w:rsidRPr="001977EE">
        <w:t xml:space="preserve">elationship </w:t>
      </w:r>
      <w:r w:rsidR="002A0C15" w:rsidRPr="001977EE">
        <w:t xml:space="preserve">Management </w:t>
      </w:r>
      <w:r w:rsidR="00E04BAD" w:rsidRPr="001977EE">
        <w:t>P</w:t>
      </w:r>
      <w:r w:rsidR="007E7DCF" w:rsidRPr="001977EE">
        <w:t xml:space="preserve">rogramme. </w:t>
      </w:r>
    </w:p>
    <w:p w14:paraId="33C5A2D8" w14:textId="77777777" w:rsidR="000D42B2" w:rsidRPr="001977EE" w:rsidRDefault="007E7DCF" w:rsidP="00471076">
      <w:pPr>
        <w:pStyle w:val="SM111"/>
      </w:pPr>
      <w:r w:rsidRPr="001977EE">
        <w:t xml:space="preserve">The </w:t>
      </w:r>
      <w:r w:rsidR="00EB2E43" w:rsidRPr="001977EE">
        <w:t>Authority will operate a</w:t>
      </w:r>
      <w:r w:rsidR="001110C9" w:rsidRPr="001977EE">
        <w:t xml:space="preserve"> Panel Agreement management</w:t>
      </w:r>
      <w:r w:rsidRPr="001977EE">
        <w:t xml:space="preserve"> process</w:t>
      </w:r>
      <w:r w:rsidR="00E91F2C" w:rsidRPr="001977EE">
        <w:t xml:space="preserve">.  It </w:t>
      </w:r>
      <w:r w:rsidR="00C65AC9" w:rsidRPr="001977EE">
        <w:t xml:space="preserve">will principally </w:t>
      </w:r>
      <w:r w:rsidR="000219A2" w:rsidRPr="001977EE">
        <w:t xml:space="preserve">involve </w:t>
      </w:r>
      <w:r w:rsidR="00C65AC9" w:rsidRPr="001977EE">
        <w:t xml:space="preserve">the </w:t>
      </w:r>
      <w:r w:rsidR="000219A2" w:rsidRPr="001977EE">
        <w:t>management of</w:t>
      </w:r>
      <w:r w:rsidR="00C65AC9" w:rsidRPr="001977EE">
        <w:t xml:space="preserve"> the </w:t>
      </w:r>
      <w:r w:rsidR="00121917" w:rsidRPr="001977EE">
        <w:t>Panel</w:t>
      </w:r>
      <w:r w:rsidR="00E91F2C" w:rsidRPr="001977EE">
        <w:t xml:space="preserve"> </w:t>
      </w:r>
      <w:r w:rsidR="00C65AC9" w:rsidRPr="001977EE">
        <w:t xml:space="preserve">across </w:t>
      </w:r>
      <w:r w:rsidR="00E91F2C" w:rsidRPr="001977EE">
        <w:t xml:space="preserve">both Tier 1 and Tier 2 and will also have the following roles: </w:t>
      </w:r>
    </w:p>
    <w:p w14:paraId="19F8DC46" w14:textId="7CBF437A" w:rsidR="000D42B2" w:rsidRPr="001977EE" w:rsidRDefault="00C65AC9" w:rsidP="000D42B2">
      <w:pPr>
        <w:pStyle w:val="SM111"/>
        <w:numPr>
          <w:ilvl w:val="0"/>
          <w:numId w:val="45"/>
        </w:numPr>
      </w:pPr>
      <w:r w:rsidRPr="001977EE">
        <w:t>collection of the</w:t>
      </w:r>
      <w:r w:rsidR="00C51D21" w:rsidRPr="001977EE">
        <w:t xml:space="preserve"> </w:t>
      </w:r>
      <w:r w:rsidR="008C7534" w:rsidRPr="001977EE">
        <w:t>Management Charge</w:t>
      </w:r>
      <w:r w:rsidR="00E91F2C" w:rsidRPr="001977EE">
        <w:t xml:space="preserve">; </w:t>
      </w:r>
    </w:p>
    <w:p w14:paraId="0BB84871" w14:textId="1EC0597A" w:rsidR="000D42B2" w:rsidRPr="001977EE" w:rsidRDefault="00E91F2C" w:rsidP="000D42B2">
      <w:pPr>
        <w:pStyle w:val="SM111"/>
        <w:numPr>
          <w:ilvl w:val="0"/>
          <w:numId w:val="45"/>
        </w:numPr>
      </w:pPr>
      <w:r w:rsidRPr="001977EE">
        <w:t xml:space="preserve">collection and reporting of Panel Agreement </w:t>
      </w:r>
      <w:r w:rsidR="00C65AC9" w:rsidRPr="001977EE">
        <w:t>MI</w:t>
      </w:r>
      <w:r w:rsidRPr="001977EE">
        <w:t xml:space="preserve"> and KPIs; </w:t>
      </w:r>
    </w:p>
    <w:p w14:paraId="22415800" w14:textId="2E5B234E" w:rsidR="000D42B2" w:rsidRPr="001977EE" w:rsidRDefault="00E91F2C" w:rsidP="000D42B2">
      <w:pPr>
        <w:pStyle w:val="SM111"/>
        <w:numPr>
          <w:ilvl w:val="0"/>
          <w:numId w:val="45"/>
        </w:numPr>
      </w:pPr>
      <w:r w:rsidRPr="001977EE">
        <w:t>dealing with</w:t>
      </w:r>
      <w:r w:rsidR="00C65AC9" w:rsidRPr="001977EE">
        <w:t xml:space="preserve"> issues concerning e-sourcing</w:t>
      </w:r>
      <w:r w:rsidRPr="001977EE">
        <w:t>,</w:t>
      </w:r>
      <w:r w:rsidR="00C65AC9" w:rsidRPr="001977EE">
        <w:t xml:space="preserve"> Further Competitions and Direct Awards</w:t>
      </w:r>
      <w:r w:rsidRPr="001977EE">
        <w:t xml:space="preserve">; </w:t>
      </w:r>
    </w:p>
    <w:p w14:paraId="1F401C79" w14:textId="60184949" w:rsidR="000D42B2" w:rsidRPr="001977EE" w:rsidRDefault="00C65AC9" w:rsidP="000D42B2">
      <w:pPr>
        <w:pStyle w:val="SM111"/>
        <w:numPr>
          <w:ilvl w:val="0"/>
          <w:numId w:val="45"/>
        </w:numPr>
      </w:pPr>
      <w:r w:rsidRPr="001977EE">
        <w:t xml:space="preserve">general day to day </w:t>
      </w:r>
      <w:r w:rsidR="00121917" w:rsidRPr="001977EE">
        <w:t>Panel</w:t>
      </w:r>
      <w:r w:rsidR="00E91F2C" w:rsidRPr="001977EE">
        <w:t xml:space="preserve"> </w:t>
      </w:r>
      <w:r w:rsidRPr="001977EE">
        <w:t>relationship management</w:t>
      </w:r>
      <w:r w:rsidR="00E91F2C" w:rsidRPr="001977EE">
        <w:t xml:space="preserve">; and </w:t>
      </w:r>
    </w:p>
    <w:p w14:paraId="7D0C6769" w14:textId="0099FBBD" w:rsidR="00C65AC9" w:rsidRPr="001977EE" w:rsidRDefault="000D42B2" w:rsidP="000D42B2">
      <w:pPr>
        <w:pStyle w:val="SM111"/>
        <w:numPr>
          <w:ilvl w:val="0"/>
          <w:numId w:val="45"/>
        </w:numPr>
      </w:pPr>
      <w:proofErr w:type="gramStart"/>
      <w:r w:rsidRPr="001977EE">
        <w:t>t</w:t>
      </w:r>
      <w:r w:rsidR="00C65AC9" w:rsidRPr="001977EE">
        <w:t>he</w:t>
      </w:r>
      <w:proofErr w:type="gramEnd"/>
      <w:r w:rsidR="00C65AC9" w:rsidRPr="001977EE">
        <w:t xml:space="preserve"> provision of performance management information to </w:t>
      </w:r>
      <w:r w:rsidR="00EB2E43" w:rsidRPr="001977EE">
        <w:t xml:space="preserve">the </w:t>
      </w:r>
      <w:r w:rsidR="00153F1E" w:rsidRPr="001977EE">
        <w:t xml:space="preserve">Supplier Relationship </w:t>
      </w:r>
      <w:r w:rsidR="002A0C15" w:rsidRPr="001977EE">
        <w:t xml:space="preserve">Management </w:t>
      </w:r>
      <w:r w:rsidR="00EB2E43" w:rsidRPr="001977EE">
        <w:t>Programme</w:t>
      </w:r>
      <w:r w:rsidR="000548E3" w:rsidRPr="001977EE">
        <w:t>.</w:t>
      </w:r>
    </w:p>
    <w:p w14:paraId="5FE82339" w14:textId="0D4C6DD4" w:rsidR="00EB2E43" w:rsidRPr="001977EE" w:rsidRDefault="00EB2E43" w:rsidP="00471076">
      <w:pPr>
        <w:pStyle w:val="SM111"/>
      </w:pPr>
      <w:r w:rsidRPr="001977EE">
        <w:t xml:space="preserve">The Supplier </w:t>
      </w:r>
      <w:r w:rsidR="000340B4" w:rsidRPr="001977EE">
        <w:t xml:space="preserve">shall </w:t>
      </w:r>
      <w:r w:rsidRPr="001977EE">
        <w:t>nominate an appropriate representative to act as a day-to-day contact in the provision of this information to the Authority at a Panel Management level</w:t>
      </w:r>
      <w:r w:rsidR="000340B4" w:rsidRPr="001977EE">
        <w:t>.</w:t>
      </w:r>
    </w:p>
    <w:p w14:paraId="679C3A1D" w14:textId="77777777" w:rsidR="00C65AC9" w:rsidRPr="001977EE" w:rsidRDefault="00C65AC9" w:rsidP="00237042">
      <w:pPr>
        <w:pStyle w:val="SM111"/>
      </w:pPr>
      <w:r w:rsidRPr="001977EE">
        <w:t xml:space="preserve">The Supplier’s nominated representatives shall attend periodic review meetings which will be determined by the Authority Representative. The </w:t>
      </w:r>
      <w:r w:rsidR="00B800E3" w:rsidRPr="001977EE">
        <w:t xml:space="preserve">purpose </w:t>
      </w:r>
      <w:r w:rsidRPr="001977EE">
        <w:t>of such review meetings will be to report on and check the monitoring standards and performance of the Supplier, resolve any issues which have not been dealt with on a day to day basis, and discuss business opportunities, potential innovative solutions and any complaints.</w:t>
      </w:r>
    </w:p>
    <w:p w14:paraId="6F6E66C4" w14:textId="77777777" w:rsidR="00C65AC9" w:rsidRPr="001977EE" w:rsidRDefault="00C65AC9" w:rsidP="00237042">
      <w:pPr>
        <w:pStyle w:val="SM111"/>
      </w:pPr>
      <w:r w:rsidRPr="001977EE">
        <w:t xml:space="preserve">The Supplier shall immediately provide the Authority with a written report where service </w:t>
      </w:r>
      <w:r w:rsidR="00B800E3" w:rsidRPr="001977EE">
        <w:t>and/</w:t>
      </w:r>
      <w:r w:rsidRPr="001977EE">
        <w:t>or performance falls below the required level</w:t>
      </w:r>
      <w:r w:rsidR="00B800E3" w:rsidRPr="001977EE">
        <w:t>. The report shall</w:t>
      </w:r>
      <w:r w:rsidRPr="001977EE">
        <w:t xml:space="preserve"> detail the remediation measures that have been put in place to prevent a re-occurrence</w:t>
      </w:r>
      <w:r w:rsidR="00B800E3" w:rsidRPr="001977EE">
        <w:t xml:space="preserve"> of such service and/or performance failure</w:t>
      </w:r>
      <w:r w:rsidRPr="001977EE">
        <w:t>.</w:t>
      </w:r>
    </w:p>
    <w:p w14:paraId="79694D2F" w14:textId="77777777" w:rsidR="00CB5020" w:rsidRPr="001977EE" w:rsidRDefault="00CB5020" w:rsidP="0090162F">
      <w:pPr>
        <w:pStyle w:val="SM11"/>
        <w:rPr>
          <w:b/>
        </w:rPr>
      </w:pPr>
      <w:r w:rsidRPr="001977EE">
        <w:rPr>
          <w:b/>
        </w:rPr>
        <w:t xml:space="preserve">Management Information </w:t>
      </w:r>
    </w:p>
    <w:p w14:paraId="57C2F823" w14:textId="18C97D06" w:rsidR="00CB5020" w:rsidRPr="001977EE" w:rsidRDefault="00B85F5A" w:rsidP="0090162F">
      <w:pPr>
        <w:pStyle w:val="SM111"/>
      </w:pPr>
      <w:r w:rsidRPr="001977EE">
        <w:t>The Supplier shall provide t</w:t>
      </w:r>
      <w:r w:rsidR="007D7D30" w:rsidRPr="001977EE">
        <w:t xml:space="preserve">imely and accurate Management Information and data reporting to the Authority and to the </w:t>
      </w:r>
      <w:r w:rsidR="00615170" w:rsidRPr="001977EE">
        <w:t>Panel Customer</w:t>
      </w:r>
      <w:r w:rsidR="007D7D30" w:rsidRPr="001977EE">
        <w:t xml:space="preserve"> free of charge in accordance with </w:t>
      </w:r>
      <w:r w:rsidRPr="001977EE">
        <w:t xml:space="preserve">Panel </w:t>
      </w:r>
      <w:r w:rsidR="007D7D30" w:rsidRPr="001977EE">
        <w:t>Schedule 9 (Management Information).</w:t>
      </w:r>
      <w:r w:rsidR="007D7D30" w:rsidRPr="001977EE" w:rsidDel="007D7D30">
        <w:t xml:space="preserve"> </w:t>
      </w:r>
    </w:p>
    <w:p w14:paraId="6DB63E7D" w14:textId="77777777" w:rsidR="00F42D16" w:rsidRPr="001977EE" w:rsidRDefault="00F42D16" w:rsidP="0090162F">
      <w:pPr>
        <w:pStyle w:val="SM11"/>
        <w:rPr>
          <w:b/>
        </w:rPr>
      </w:pPr>
      <w:r w:rsidRPr="001977EE">
        <w:rPr>
          <w:b/>
        </w:rPr>
        <w:t>Value Added Service</w:t>
      </w:r>
      <w:r w:rsidR="00C0314B" w:rsidRPr="001977EE">
        <w:rPr>
          <w:b/>
        </w:rPr>
        <w:t xml:space="preserve"> Requirements</w:t>
      </w:r>
    </w:p>
    <w:p w14:paraId="03883135" w14:textId="4F70BCEF" w:rsidR="00F42D16" w:rsidRPr="001977EE" w:rsidRDefault="00C164BF" w:rsidP="00471076">
      <w:pPr>
        <w:spacing w:before="120" w:line="240" w:lineRule="auto"/>
        <w:ind w:left="567"/>
        <w:rPr>
          <w:rFonts w:ascii="Arial" w:hAnsi="Arial" w:cs="Arial"/>
        </w:rPr>
      </w:pPr>
      <w:r w:rsidRPr="001977EE">
        <w:rPr>
          <w:rFonts w:ascii="Arial" w:hAnsi="Arial" w:cs="Arial"/>
        </w:rPr>
        <w:t xml:space="preserve">The Supplier shall provide </w:t>
      </w:r>
      <w:r w:rsidR="003D55C0" w:rsidRPr="001977EE">
        <w:rPr>
          <w:rFonts w:ascii="Arial" w:hAnsi="Arial" w:cs="Arial"/>
        </w:rPr>
        <w:t>a</w:t>
      </w:r>
      <w:r w:rsidR="00A92332" w:rsidRPr="001977EE">
        <w:rPr>
          <w:rFonts w:ascii="Arial" w:hAnsi="Arial" w:cs="Arial"/>
        </w:rPr>
        <w:t>s</w:t>
      </w:r>
      <w:r w:rsidR="003D55C0" w:rsidRPr="001977EE">
        <w:rPr>
          <w:rFonts w:ascii="Arial" w:hAnsi="Arial" w:cs="Arial"/>
        </w:rPr>
        <w:t xml:space="preserve"> a minimum, </w:t>
      </w:r>
      <w:r w:rsidRPr="001977EE">
        <w:rPr>
          <w:rFonts w:ascii="Arial" w:hAnsi="Arial" w:cs="Arial"/>
        </w:rPr>
        <w:t>the following additional services</w:t>
      </w:r>
      <w:r w:rsidR="00092F19" w:rsidRPr="001977EE">
        <w:rPr>
          <w:rFonts w:ascii="Arial" w:hAnsi="Arial" w:cs="Arial"/>
        </w:rPr>
        <w:t xml:space="preserve"> (the </w:t>
      </w:r>
      <w:r w:rsidR="00415154" w:rsidRPr="001977EE">
        <w:rPr>
          <w:rFonts w:ascii="Arial" w:hAnsi="Arial" w:cs="Arial"/>
        </w:rPr>
        <w:t>“</w:t>
      </w:r>
      <w:r w:rsidR="00092F19" w:rsidRPr="001977EE">
        <w:rPr>
          <w:rFonts w:ascii="Arial" w:hAnsi="Arial" w:cs="Arial"/>
          <w:b/>
        </w:rPr>
        <w:t>Value Added Services</w:t>
      </w:r>
      <w:r w:rsidR="00092F19" w:rsidRPr="001977EE">
        <w:rPr>
          <w:rFonts w:ascii="Arial" w:hAnsi="Arial" w:cs="Arial"/>
        </w:rPr>
        <w:t xml:space="preserve">”) to </w:t>
      </w:r>
      <w:r w:rsidR="00615170" w:rsidRPr="001977EE">
        <w:rPr>
          <w:rFonts w:ascii="Arial" w:hAnsi="Arial" w:cs="Arial"/>
        </w:rPr>
        <w:t>Panel Customer</w:t>
      </w:r>
      <w:r w:rsidR="00092F19" w:rsidRPr="001977EE">
        <w:rPr>
          <w:rFonts w:ascii="Arial" w:hAnsi="Arial" w:cs="Arial"/>
        </w:rPr>
        <w:t>s at no additional charge:</w:t>
      </w:r>
    </w:p>
    <w:p w14:paraId="1AD47208" w14:textId="77777777" w:rsidR="00C0314B" w:rsidRPr="001977EE" w:rsidRDefault="00C0314B" w:rsidP="00D50D58">
      <w:pPr>
        <w:pStyle w:val="SM111"/>
        <w:rPr>
          <w:b/>
        </w:rPr>
      </w:pPr>
      <w:r w:rsidRPr="001977EE">
        <w:rPr>
          <w:b/>
        </w:rPr>
        <w:t xml:space="preserve">Exchange schemes </w:t>
      </w:r>
    </w:p>
    <w:p w14:paraId="63276416" w14:textId="3F437704" w:rsidR="00A92332" w:rsidRPr="001977EE" w:rsidRDefault="00615170" w:rsidP="00B531B0">
      <w:pPr>
        <w:pStyle w:val="SM1111"/>
        <w:ind w:left="2166" w:hanging="862"/>
      </w:pPr>
      <w:r w:rsidRPr="001977EE">
        <w:t xml:space="preserve">Subject to the Supplier having accepted at least one (1) Order under the Panel Agreement, the Supplier shall make available to any </w:t>
      </w:r>
      <w:r w:rsidR="00C245F7" w:rsidRPr="001977EE">
        <w:t>Panel</w:t>
      </w:r>
      <w:r w:rsidRPr="001977EE">
        <w:t xml:space="preserve"> Customer suitably qualified and experienced Supplier Personnel for a minimum of two (2) exchange schemes per Contract Year in exchange for an equivalent number of Panel Customer Personnel to work with the Supplier and this shall be on a secondment basis. The Supplier, the relevant Panel Customer and the Authority shall record in writing the agreement for an exchange scheme to take place. The terms and conditions of th</w:t>
      </w:r>
      <w:r w:rsidR="00B70A33" w:rsidRPr="001977EE">
        <w:t>e</w:t>
      </w:r>
      <w:r w:rsidRPr="001977EE">
        <w:t xml:space="preserve"> s</w:t>
      </w:r>
      <w:r w:rsidR="00B70A33" w:rsidRPr="001977EE">
        <w:t>econdment</w:t>
      </w:r>
      <w:r w:rsidRPr="001977EE">
        <w:t xml:space="preserve"> shall be in the form set out in Annex 3 of Panel Schedule 4 (Template Order Form and Template Call </w:t>
      </w:r>
      <w:proofErr w:type="gramStart"/>
      <w:r w:rsidR="008A728A" w:rsidRPr="001977EE">
        <w:t>O</w:t>
      </w:r>
      <w:r w:rsidRPr="001977EE">
        <w:t>ff</w:t>
      </w:r>
      <w:proofErr w:type="gramEnd"/>
      <w:r w:rsidRPr="001977EE">
        <w:t xml:space="preserve"> Terms). All </w:t>
      </w:r>
      <w:r w:rsidR="00B70A33" w:rsidRPr="001977EE">
        <w:t xml:space="preserve">exchange </w:t>
      </w:r>
      <w:r w:rsidRPr="001977EE">
        <w:t>schemes agreed shall operate for a minimum period of three (3) months</w:t>
      </w:r>
      <w:r w:rsidR="008A728A" w:rsidRPr="001977EE">
        <w:t>.</w:t>
      </w:r>
    </w:p>
    <w:p w14:paraId="25947466" w14:textId="5E11263E" w:rsidR="00B531B0" w:rsidRPr="001977EE" w:rsidRDefault="00B531B0" w:rsidP="00B531B0">
      <w:pPr>
        <w:pStyle w:val="SM111"/>
        <w:rPr>
          <w:b/>
        </w:rPr>
      </w:pPr>
      <w:r w:rsidRPr="001977EE">
        <w:rPr>
          <w:b/>
        </w:rPr>
        <w:t xml:space="preserve">Secondments </w:t>
      </w:r>
    </w:p>
    <w:p w14:paraId="4B422BC5" w14:textId="779F34C7" w:rsidR="00421D0D" w:rsidRPr="001977EE" w:rsidRDefault="00B531B0" w:rsidP="00B531B0">
      <w:pPr>
        <w:pStyle w:val="SM1111"/>
        <w:ind w:left="2166" w:hanging="862"/>
      </w:pPr>
      <w:r w:rsidRPr="001977EE">
        <w:lastRenderedPageBreak/>
        <w:t>The Supplier shall make available a minimum of two (2) suitably qualified and experienced Supplier Personnel per Contract Year as selected and agreed from time to time between the Supplier and a Panel Customer (a “</w:t>
      </w:r>
      <w:proofErr w:type="spellStart"/>
      <w:r w:rsidRPr="001977EE">
        <w:rPr>
          <w:b/>
        </w:rPr>
        <w:t>Secondee</w:t>
      </w:r>
      <w:proofErr w:type="spellEnd"/>
      <w:r w:rsidRPr="001977EE">
        <w:t xml:space="preserve">”) where the Panel Customer is receiving Ordered Panel Services. </w:t>
      </w:r>
      <w:proofErr w:type="spellStart"/>
      <w:r w:rsidRPr="001977EE">
        <w:t>Secondees</w:t>
      </w:r>
      <w:proofErr w:type="spellEnd"/>
      <w:r w:rsidRPr="001977EE">
        <w:t xml:space="preserve"> shall be seconded for a minimum period of six (6) weeks to support the delivery of the Ordered Panel Services. The terms </w:t>
      </w:r>
      <w:r w:rsidR="00B83DB3" w:rsidRPr="001977EE">
        <w:t xml:space="preserve">and conditions of the secondment shall be in the form set out in Annex 3 of Panel Schedule 4 (Template Order Form and Template Call </w:t>
      </w:r>
      <w:proofErr w:type="gramStart"/>
      <w:r w:rsidR="00B83DB3" w:rsidRPr="001977EE">
        <w:t>Off</w:t>
      </w:r>
      <w:proofErr w:type="gramEnd"/>
      <w:r w:rsidR="00B83DB3" w:rsidRPr="001977EE">
        <w:t xml:space="preserve"> Terms).</w:t>
      </w:r>
      <w:r w:rsidRPr="001977EE">
        <w:t xml:space="preserve">  </w:t>
      </w:r>
    </w:p>
    <w:p w14:paraId="61D88E28" w14:textId="67CE8E56" w:rsidR="00B05F76" w:rsidRPr="001977EE" w:rsidRDefault="00421D0D" w:rsidP="00421D0D">
      <w:pPr>
        <w:tabs>
          <w:tab w:val="left" w:pos="1550"/>
        </w:tabs>
      </w:pPr>
      <w:r w:rsidRPr="001977EE">
        <w:tab/>
      </w:r>
    </w:p>
    <w:p w14:paraId="4908EB43" w14:textId="12A1CE26" w:rsidR="00471076" w:rsidRPr="001977EE" w:rsidRDefault="00471076" w:rsidP="00471076">
      <w:pPr>
        <w:pStyle w:val="SM1"/>
        <w:ind w:left="0"/>
      </w:pPr>
      <w:r w:rsidRPr="001977EE">
        <w:t>OPTIONAL PANEL SERVICES</w:t>
      </w:r>
    </w:p>
    <w:p w14:paraId="5FDA8E7A" w14:textId="77777777" w:rsidR="00471076" w:rsidRPr="001977EE" w:rsidRDefault="00471076" w:rsidP="00471076">
      <w:pPr>
        <w:pStyle w:val="ListParagraph"/>
        <w:numPr>
          <w:ilvl w:val="0"/>
          <w:numId w:val="3"/>
        </w:numPr>
        <w:spacing w:before="120" w:after="0" w:line="240" w:lineRule="auto"/>
        <w:contextualSpacing w:val="0"/>
        <w:jc w:val="both"/>
        <w:rPr>
          <w:rFonts w:ascii="Arial" w:hAnsi="Arial"/>
          <w:vanish/>
        </w:rPr>
      </w:pPr>
    </w:p>
    <w:p w14:paraId="555A923C" w14:textId="7F413E7C" w:rsidR="00471076" w:rsidRPr="001977EE" w:rsidRDefault="00471076" w:rsidP="002656AA">
      <w:pPr>
        <w:spacing w:before="120" w:line="240" w:lineRule="auto"/>
        <w:jc w:val="both"/>
        <w:rPr>
          <w:rFonts w:ascii="Arial" w:hAnsi="Arial" w:cs="Arial"/>
        </w:rPr>
      </w:pPr>
      <w:r w:rsidRPr="001977EE">
        <w:rPr>
          <w:rFonts w:ascii="Arial" w:hAnsi="Arial" w:cs="Arial"/>
        </w:rPr>
        <w:t xml:space="preserve">This section provides details of the </w:t>
      </w:r>
      <w:r w:rsidR="00FF6EB1" w:rsidRPr="001977EE">
        <w:rPr>
          <w:rFonts w:ascii="Arial" w:hAnsi="Arial" w:cs="Arial"/>
        </w:rPr>
        <w:t>Optional Panel Service</w:t>
      </w:r>
      <w:r w:rsidRPr="001977EE">
        <w:rPr>
          <w:rFonts w:ascii="Arial" w:hAnsi="Arial" w:cs="Arial"/>
        </w:rPr>
        <w:t xml:space="preserve"> requirements that the Supplier may be expected to fulfil in their entirety, when requested by </w:t>
      </w:r>
      <w:r w:rsidR="00FF6EB1" w:rsidRPr="001977EE">
        <w:rPr>
          <w:rFonts w:ascii="Arial" w:hAnsi="Arial" w:cs="Arial"/>
        </w:rPr>
        <w:t xml:space="preserve">Panel Customers </w:t>
      </w:r>
      <w:r w:rsidRPr="001977EE">
        <w:rPr>
          <w:rFonts w:ascii="Arial" w:hAnsi="Arial" w:cs="Arial"/>
        </w:rPr>
        <w:t>in the Legal Services Contract.</w:t>
      </w:r>
    </w:p>
    <w:p w14:paraId="082D7919" w14:textId="5BDFE27C" w:rsidR="00FF6EB1" w:rsidRPr="001977EE" w:rsidRDefault="007E1AB3" w:rsidP="00471076">
      <w:pPr>
        <w:pStyle w:val="SM11"/>
      </w:pPr>
      <w:r w:rsidRPr="001977EE">
        <w:t xml:space="preserve">Where the Supplier has indicated in their Tender their ability to perform additional </w:t>
      </w:r>
      <w:r w:rsidR="002656AA" w:rsidRPr="001977EE">
        <w:t>V</w:t>
      </w:r>
      <w:r w:rsidRPr="001977EE">
        <w:t xml:space="preserve">alue </w:t>
      </w:r>
      <w:r w:rsidR="002656AA" w:rsidRPr="001977EE">
        <w:t>A</w:t>
      </w:r>
      <w:r w:rsidRPr="001977EE">
        <w:t xml:space="preserve">dded </w:t>
      </w:r>
      <w:r w:rsidR="002656AA" w:rsidRPr="001977EE">
        <w:t>S</w:t>
      </w:r>
      <w:r w:rsidRPr="001977EE">
        <w:t>ervices beyond those stated in paragraph 3 of this Schedule 2</w:t>
      </w:r>
      <w:r w:rsidR="002656AA" w:rsidRPr="001977EE">
        <w:t xml:space="preserve"> (Part A: Panel Services)</w:t>
      </w:r>
      <w:r w:rsidRPr="001977EE">
        <w:t xml:space="preserve">, the Supplier shall be required to perform those additional </w:t>
      </w:r>
      <w:r w:rsidR="002656AA" w:rsidRPr="001977EE">
        <w:t>V</w:t>
      </w:r>
      <w:r w:rsidRPr="001977EE">
        <w:t xml:space="preserve">alue </w:t>
      </w:r>
      <w:r w:rsidR="002656AA" w:rsidRPr="001977EE">
        <w:t>A</w:t>
      </w:r>
      <w:r w:rsidRPr="001977EE">
        <w:t xml:space="preserve">dded </w:t>
      </w:r>
      <w:r w:rsidR="002656AA" w:rsidRPr="001977EE">
        <w:t>S</w:t>
      </w:r>
      <w:r w:rsidRPr="001977EE">
        <w:t>ervices upon request by Panel Customers.</w:t>
      </w:r>
    </w:p>
    <w:p w14:paraId="763633F7" w14:textId="3D70055E" w:rsidR="00471076" w:rsidRPr="001977EE" w:rsidRDefault="00471076" w:rsidP="00471076">
      <w:pPr>
        <w:pStyle w:val="SM11"/>
      </w:pPr>
      <w:r w:rsidRPr="001977EE">
        <w:t xml:space="preserve">Appendix 3 </w:t>
      </w:r>
      <w:r w:rsidR="002656AA" w:rsidRPr="001977EE">
        <w:t xml:space="preserve">(Optional Specialisms) </w:t>
      </w:r>
      <w:r w:rsidRPr="001977EE">
        <w:t xml:space="preserve">sets out the Optional </w:t>
      </w:r>
      <w:r w:rsidR="00FF6EB1" w:rsidRPr="001977EE">
        <w:t>Specialisms</w:t>
      </w:r>
      <w:r w:rsidRPr="001977EE">
        <w:t xml:space="preserve"> that </w:t>
      </w:r>
      <w:r w:rsidR="002656AA" w:rsidRPr="001977EE">
        <w:t xml:space="preserve">the </w:t>
      </w:r>
      <w:r w:rsidRPr="001977EE">
        <w:t>Supplier may (if qualified and competent to do so) be required to perform upon request by Panel</w:t>
      </w:r>
      <w:r w:rsidR="00615170" w:rsidRPr="001977EE">
        <w:t xml:space="preserve"> Customer</w:t>
      </w:r>
      <w:r w:rsidRPr="001977EE">
        <w:t xml:space="preserve">s. </w:t>
      </w:r>
    </w:p>
    <w:p w14:paraId="187487A4" w14:textId="7693541D" w:rsidR="00471076" w:rsidRPr="001977EE" w:rsidRDefault="000D42B2" w:rsidP="00471076">
      <w:pPr>
        <w:pStyle w:val="SM11"/>
      </w:pPr>
      <w:r w:rsidRPr="001977EE">
        <w:t xml:space="preserve">Where the </w:t>
      </w:r>
      <w:r w:rsidR="00471076" w:rsidRPr="001977EE">
        <w:t>Supplier</w:t>
      </w:r>
      <w:r w:rsidRPr="001977EE">
        <w:t xml:space="preserve"> has</w:t>
      </w:r>
      <w:r w:rsidR="00471076" w:rsidRPr="001977EE">
        <w:t xml:space="preserve"> indicated </w:t>
      </w:r>
      <w:r w:rsidRPr="001977EE">
        <w:t xml:space="preserve">in their Tender </w:t>
      </w:r>
      <w:r w:rsidR="00471076" w:rsidRPr="001977EE">
        <w:t>their ability to perform</w:t>
      </w:r>
      <w:r w:rsidRPr="001977EE">
        <w:t xml:space="preserve"> any of</w:t>
      </w:r>
      <w:r w:rsidR="00471076" w:rsidRPr="001977EE">
        <w:t xml:space="preserve"> the Optional </w:t>
      </w:r>
      <w:r w:rsidR="00FF6EB1" w:rsidRPr="001977EE">
        <w:t>Specialisms</w:t>
      </w:r>
      <w:r w:rsidRPr="001977EE">
        <w:t xml:space="preserve">, the Supplier </w:t>
      </w:r>
      <w:r w:rsidR="00471076" w:rsidRPr="001977EE">
        <w:t xml:space="preserve">shall make the Optional </w:t>
      </w:r>
      <w:r w:rsidR="00FF6EB1" w:rsidRPr="001977EE">
        <w:t>Specialisms</w:t>
      </w:r>
      <w:r w:rsidR="00471076" w:rsidRPr="001977EE">
        <w:t xml:space="preserve"> available to Panel </w:t>
      </w:r>
      <w:r w:rsidR="00615170" w:rsidRPr="001977EE">
        <w:t>Customer</w:t>
      </w:r>
      <w:r w:rsidR="00471076" w:rsidRPr="001977EE">
        <w:t xml:space="preserve">s. </w:t>
      </w:r>
    </w:p>
    <w:p w14:paraId="49844A43" w14:textId="03B6E563" w:rsidR="00471076" w:rsidRPr="001977EE" w:rsidRDefault="00471076" w:rsidP="00471076">
      <w:pPr>
        <w:pStyle w:val="SM11"/>
      </w:pPr>
      <w:r w:rsidRPr="001977EE">
        <w:t xml:space="preserve">Any Supplier who has indicated </w:t>
      </w:r>
      <w:r w:rsidR="00916482" w:rsidRPr="001977EE">
        <w:t xml:space="preserve">their </w:t>
      </w:r>
      <w:r w:rsidRPr="001977EE">
        <w:t xml:space="preserve">ability to perform any of the </w:t>
      </w:r>
      <w:r w:rsidR="00FF6EB1" w:rsidRPr="001977EE">
        <w:t xml:space="preserve">Optional Specialisms </w:t>
      </w:r>
      <w:r w:rsidRPr="001977EE">
        <w:t xml:space="preserve">shall ensure that it (and the relevant Supplier Personnel) have the skills, qualifications and capability to provide legal advice to the Authority and/or the </w:t>
      </w:r>
      <w:r w:rsidR="00615170" w:rsidRPr="001977EE">
        <w:t>Panel Customer</w:t>
      </w:r>
      <w:r w:rsidRPr="001977EE">
        <w:t xml:space="preserve">(s) for those </w:t>
      </w:r>
      <w:r w:rsidR="00FF6EB1" w:rsidRPr="001977EE">
        <w:t>Optional Specialisms</w:t>
      </w:r>
      <w:r w:rsidRPr="001977EE">
        <w:t xml:space="preserve">. </w:t>
      </w:r>
    </w:p>
    <w:p w14:paraId="43DA44D4" w14:textId="1A8AAD2E" w:rsidR="00471076" w:rsidRPr="001977EE" w:rsidRDefault="005A4AB2" w:rsidP="00471076">
      <w:pPr>
        <w:pStyle w:val="SM11"/>
        <w:rPr>
          <w:b/>
        </w:rPr>
      </w:pPr>
      <w:r w:rsidRPr="001977EE">
        <w:rPr>
          <w:b/>
        </w:rPr>
        <w:t>Obligation to accept Orders</w:t>
      </w:r>
      <w:r w:rsidR="00043AAC" w:rsidRPr="001977EE">
        <w:rPr>
          <w:b/>
        </w:rPr>
        <w:t xml:space="preserve"> </w:t>
      </w:r>
      <w:r w:rsidR="000D42B2" w:rsidRPr="001977EE">
        <w:rPr>
          <w:b/>
        </w:rPr>
        <w:t xml:space="preserve">for </w:t>
      </w:r>
      <w:r w:rsidR="00043AAC" w:rsidRPr="001977EE">
        <w:rPr>
          <w:b/>
        </w:rPr>
        <w:t>Optional Pane</w:t>
      </w:r>
      <w:r w:rsidR="004C792E" w:rsidRPr="001977EE">
        <w:rPr>
          <w:b/>
        </w:rPr>
        <w:t>l</w:t>
      </w:r>
      <w:r w:rsidR="00043AAC" w:rsidRPr="001977EE">
        <w:rPr>
          <w:b/>
        </w:rPr>
        <w:t xml:space="preserve"> Services</w:t>
      </w:r>
    </w:p>
    <w:p w14:paraId="418A8AAC" w14:textId="77777777" w:rsidR="00916482" w:rsidRPr="001977EE" w:rsidRDefault="009F1DBD" w:rsidP="00916482">
      <w:pPr>
        <w:pStyle w:val="SM111"/>
        <w:rPr>
          <w:rStyle w:val="SM11Char"/>
        </w:rPr>
      </w:pPr>
      <w:r w:rsidRPr="001977EE">
        <w:rPr>
          <w:rStyle w:val="SM11Char"/>
        </w:rPr>
        <w:t>The Supplier shall (</w:t>
      </w:r>
      <w:proofErr w:type="spellStart"/>
      <w:r w:rsidRPr="001977EE">
        <w:rPr>
          <w:rStyle w:val="SM11Char"/>
        </w:rPr>
        <w:t>i</w:t>
      </w:r>
      <w:proofErr w:type="spellEnd"/>
      <w:r w:rsidRPr="001977EE">
        <w:rPr>
          <w:rStyle w:val="SM11Char"/>
        </w:rPr>
        <w:t>) accept Orders and (ii) respond to invitations to participate in Further Competition</w:t>
      </w:r>
      <w:r w:rsidR="00FF6EB1" w:rsidRPr="001977EE">
        <w:rPr>
          <w:rStyle w:val="SM11Char"/>
        </w:rPr>
        <w:t xml:space="preserve"> Procedures</w:t>
      </w:r>
      <w:r w:rsidRPr="001977EE">
        <w:rPr>
          <w:rStyle w:val="SM11Char"/>
        </w:rPr>
        <w:t xml:space="preserve">, for the provision </w:t>
      </w:r>
      <w:r w:rsidR="0086568B" w:rsidRPr="001977EE">
        <w:rPr>
          <w:rStyle w:val="SM11Char"/>
        </w:rPr>
        <w:t>of</w:t>
      </w:r>
      <w:r w:rsidR="00916482" w:rsidRPr="001977EE">
        <w:rPr>
          <w:rStyle w:val="SM11Char"/>
        </w:rPr>
        <w:t xml:space="preserve"> Optional Panel Services from the Authority and/or Panel Customer(s), unless it can demonstrate that one or more of the following applies:</w:t>
      </w:r>
    </w:p>
    <w:p w14:paraId="0F9A99F0" w14:textId="77777777" w:rsidR="00916482" w:rsidRPr="001977EE" w:rsidRDefault="00916482" w:rsidP="00916482">
      <w:pPr>
        <w:pStyle w:val="SM1111"/>
        <w:ind w:left="2166" w:hanging="862"/>
        <w:rPr>
          <w:rStyle w:val="SM11Char"/>
        </w:rPr>
      </w:pPr>
      <w:r w:rsidRPr="001977EE">
        <w:rPr>
          <w:rStyle w:val="SM11Char"/>
        </w:rPr>
        <w:t xml:space="preserve">the Supplier has a conflict of interest in relation to a proposed Order and/or the relevant Panel Customer which cannot be mitigated to the Panel Customer’s satisfaction; </w:t>
      </w:r>
    </w:p>
    <w:p w14:paraId="74B02BC4" w14:textId="77777777" w:rsidR="00916482" w:rsidRPr="001977EE" w:rsidRDefault="00916482" w:rsidP="00916482">
      <w:pPr>
        <w:pStyle w:val="SM1111"/>
        <w:ind w:left="2166" w:hanging="862"/>
        <w:rPr>
          <w:rStyle w:val="SM11Char"/>
        </w:rPr>
      </w:pPr>
      <w:r w:rsidRPr="001977EE">
        <w:rPr>
          <w:rStyle w:val="SM11Char"/>
        </w:rPr>
        <w:t>the Supplier does not have adequate resources available to properly service the Order; and/or</w:t>
      </w:r>
    </w:p>
    <w:p w14:paraId="5E573F32" w14:textId="77777777" w:rsidR="00916482" w:rsidRPr="001977EE" w:rsidRDefault="00916482" w:rsidP="00916482">
      <w:pPr>
        <w:pStyle w:val="SM1111"/>
        <w:ind w:left="2166" w:hanging="862"/>
        <w:rPr>
          <w:rStyle w:val="SM11Char"/>
        </w:rPr>
      </w:pPr>
      <w:proofErr w:type="gramStart"/>
      <w:r w:rsidRPr="001977EE">
        <w:rPr>
          <w:rStyle w:val="SM11Char"/>
        </w:rPr>
        <w:t>the</w:t>
      </w:r>
      <w:proofErr w:type="gramEnd"/>
      <w:r w:rsidRPr="001977EE">
        <w:rPr>
          <w:rStyle w:val="SM11Char"/>
        </w:rPr>
        <w:t xml:space="preserve"> Supplier does not have the expertise in the types of legal services, areas of legal practice and/or industry sector specialisms necessary for the provision of such Optional Specialisms as may be requested by the Authority and/or Panel Customer(s).</w:t>
      </w:r>
    </w:p>
    <w:p w14:paraId="6CA9F7C7" w14:textId="5FB54AF5" w:rsidR="0086568B" w:rsidRPr="001977EE" w:rsidRDefault="0086568B" w:rsidP="00916482">
      <w:pPr>
        <w:pStyle w:val="SM1111"/>
        <w:numPr>
          <w:ilvl w:val="0"/>
          <w:numId w:val="0"/>
        </w:numPr>
        <w:ind w:left="1432" w:hanging="864"/>
        <w:rPr>
          <w:rStyle w:val="SM11Char"/>
        </w:rPr>
      </w:pPr>
    </w:p>
    <w:p w14:paraId="6D74141F" w14:textId="77777777" w:rsidR="00704B81" w:rsidRPr="001977EE" w:rsidRDefault="00704B81" w:rsidP="002815B7">
      <w:pPr>
        <w:pStyle w:val="ListParagraph"/>
        <w:spacing w:before="120" w:after="0" w:line="240" w:lineRule="auto"/>
        <w:ind w:left="3419"/>
        <w:contextualSpacing w:val="0"/>
        <w:jc w:val="both"/>
        <w:rPr>
          <w:rFonts w:ascii="Arial" w:hAnsi="Arial" w:cs="Arial"/>
        </w:rPr>
      </w:pPr>
    </w:p>
    <w:p w14:paraId="4D1916E3" w14:textId="1BE9A2E5" w:rsidR="00F81257" w:rsidRPr="001977EE" w:rsidRDefault="00D50D58" w:rsidP="0086568B">
      <w:pPr>
        <w:jc w:val="center"/>
        <w:rPr>
          <w:rFonts w:ascii="Arial" w:eastAsia="Calibri" w:hAnsi="Arial" w:cs="Arial"/>
          <w:b/>
        </w:rPr>
      </w:pPr>
      <w:r w:rsidRPr="001977EE">
        <w:rPr>
          <w:rFonts w:eastAsia="Calibri"/>
        </w:rPr>
        <w:br w:type="page"/>
      </w:r>
      <w:r w:rsidR="002A5793" w:rsidRPr="001977EE">
        <w:rPr>
          <w:rFonts w:ascii="Arial" w:eastAsia="Calibri" w:hAnsi="Arial" w:cs="Arial"/>
          <w:b/>
        </w:rPr>
        <w:lastRenderedPageBreak/>
        <w:t xml:space="preserve">Appendix 1 (Authorised </w:t>
      </w:r>
      <w:r w:rsidR="00615170" w:rsidRPr="001977EE">
        <w:rPr>
          <w:rFonts w:ascii="Arial" w:eastAsia="Calibri" w:hAnsi="Arial" w:cs="Arial"/>
          <w:b/>
        </w:rPr>
        <w:t>Panel Customer</w:t>
      </w:r>
      <w:r w:rsidR="002A5793" w:rsidRPr="001977EE">
        <w:rPr>
          <w:rFonts w:ascii="Arial" w:eastAsia="Calibri" w:hAnsi="Arial" w:cs="Arial"/>
          <w:b/>
        </w:rPr>
        <w:t xml:space="preserve"> List)</w:t>
      </w:r>
    </w:p>
    <w:p w14:paraId="6648CC11" w14:textId="7ECCEE14" w:rsidR="009C601D" w:rsidRPr="001977EE" w:rsidRDefault="009C601D" w:rsidP="002E52E2">
      <w:pPr>
        <w:pStyle w:val="ListParagraph"/>
        <w:numPr>
          <w:ilvl w:val="0"/>
          <w:numId w:val="37"/>
        </w:numPr>
        <w:shd w:val="clear" w:color="auto" w:fill="FFFFFF"/>
        <w:spacing w:after="0" w:line="240" w:lineRule="auto"/>
        <w:rPr>
          <w:rFonts w:ascii="Times New Roman" w:eastAsia="Times New Roman" w:hAnsi="Times New Roman" w:cs="Times New Roman"/>
        </w:rPr>
      </w:pPr>
      <w:r w:rsidRPr="001977EE">
        <w:rPr>
          <w:rFonts w:ascii="Arial" w:eastAsia="Times New Roman" w:hAnsi="Arial" w:cs="Arial"/>
        </w:rPr>
        <w:t>The following organisations are authorised and enabled to use the Panel:</w:t>
      </w:r>
    </w:p>
    <w:p w14:paraId="7FF726C9" w14:textId="2F959340" w:rsidR="009C601D" w:rsidRPr="001977EE" w:rsidRDefault="009C601D" w:rsidP="009D55F7">
      <w:pPr>
        <w:shd w:val="clear" w:color="auto" w:fill="FFFFFF"/>
        <w:spacing w:after="0" w:line="240" w:lineRule="auto"/>
        <w:rPr>
          <w:rFonts w:ascii="Times New Roman" w:eastAsia="Times New Roman" w:hAnsi="Times New Roman" w:cs="Times New Roman"/>
        </w:rPr>
      </w:pPr>
      <w:r w:rsidRPr="001977EE">
        <w:rPr>
          <w:rFonts w:ascii="Arial" w:eastAsia="Times New Roman" w:hAnsi="Arial" w:cs="Arial"/>
        </w:rPr>
        <w:t> </w:t>
      </w:r>
    </w:p>
    <w:p w14:paraId="4797F550" w14:textId="77777777" w:rsidR="009C601D" w:rsidRPr="001977EE" w:rsidRDefault="009C601D" w:rsidP="002E52E2">
      <w:pPr>
        <w:numPr>
          <w:ilvl w:val="0"/>
          <w:numId w:val="36"/>
        </w:numPr>
        <w:shd w:val="clear" w:color="auto" w:fill="FFFFFF"/>
        <w:spacing w:after="0" w:line="240" w:lineRule="auto"/>
        <w:rPr>
          <w:rFonts w:ascii="Times New Roman" w:eastAsia="Times New Roman" w:hAnsi="Times New Roman" w:cs="Times New Roman"/>
        </w:rPr>
      </w:pPr>
      <w:r w:rsidRPr="001977EE">
        <w:rPr>
          <w:rFonts w:ascii="Arial" w:eastAsia="Times New Roman" w:hAnsi="Arial" w:cs="Arial"/>
        </w:rPr>
        <w:t>All Ministerial and Non Ministerial UK Government Departments, including their Executive Agencies and other subsidiary bodies;</w:t>
      </w:r>
    </w:p>
    <w:p w14:paraId="2BAAE77D" w14:textId="77777777" w:rsidR="009C601D" w:rsidRPr="001977EE" w:rsidRDefault="009C601D" w:rsidP="002E52E2">
      <w:pPr>
        <w:numPr>
          <w:ilvl w:val="0"/>
          <w:numId w:val="36"/>
        </w:numPr>
        <w:shd w:val="clear" w:color="auto" w:fill="FFFFFF"/>
        <w:spacing w:after="0" w:line="240" w:lineRule="auto"/>
        <w:rPr>
          <w:rFonts w:ascii="Times New Roman" w:eastAsia="Times New Roman" w:hAnsi="Times New Roman" w:cs="Times New Roman"/>
        </w:rPr>
      </w:pPr>
      <w:r w:rsidRPr="001977EE">
        <w:rPr>
          <w:rFonts w:ascii="Arial" w:eastAsia="Times New Roman" w:hAnsi="Arial" w:cs="Arial"/>
        </w:rPr>
        <w:t>Other parts of Central Government holding Crown Status employing Civil Servants:</w:t>
      </w:r>
    </w:p>
    <w:p w14:paraId="567F6FB0" w14:textId="77777777" w:rsidR="009C601D" w:rsidRPr="001977EE" w:rsidRDefault="009C601D" w:rsidP="002E52E2">
      <w:pPr>
        <w:numPr>
          <w:ilvl w:val="0"/>
          <w:numId w:val="36"/>
        </w:numPr>
        <w:shd w:val="clear" w:color="auto" w:fill="FFFFFF"/>
        <w:spacing w:after="0" w:line="240" w:lineRule="auto"/>
        <w:rPr>
          <w:rFonts w:ascii="Times New Roman" w:eastAsia="Times New Roman" w:hAnsi="Times New Roman" w:cs="Times New Roman"/>
        </w:rPr>
      </w:pPr>
      <w:r w:rsidRPr="001977EE">
        <w:rPr>
          <w:rFonts w:ascii="Arial" w:eastAsia="Times New Roman" w:hAnsi="Arial" w:cs="Arial"/>
        </w:rPr>
        <w:t>All non-Crown Status Government Companies wholly or partly owned by Central Government Departments and their subsidiaries;</w:t>
      </w:r>
    </w:p>
    <w:p w14:paraId="483DB1B3" w14:textId="2DE95A95" w:rsidR="00DF64FA" w:rsidRPr="001977EE" w:rsidRDefault="009C601D" w:rsidP="002E52E2">
      <w:pPr>
        <w:numPr>
          <w:ilvl w:val="0"/>
          <w:numId w:val="36"/>
        </w:numPr>
        <w:shd w:val="clear" w:color="auto" w:fill="FFFFFF"/>
        <w:spacing w:after="0" w:line="240" w:lineRule="auto"/>
        <w:rPr>
          <w:rFonts w:ascii="Times New Roman" w:eastAsia="Times New Roman" w:hAnsi="Times New Roman" w:cs="Times New Roman"/>
        </w:rPr>
      </w:pPr>
      <w:r w:rsidRPr="001977EE">
        <w:rPr>
          <w:rFonts w:ascii="Arial" w:eastAsia="Times New Roman" w:hAnsi="Arial" w:cs="Arial"/>
        </w:rPr>
        <w:t xml:space="preserve">The non-Departmental Public Bodies, other Public Bodies, Public Corporations and their subsidiary bodies sponsored by Central Government Departments which are not covered by the above categories but are named at </w:t>
      </w:r>
      <w:r w:rsidR="00DF64FA" w:rsidRPr="001977EE">
        <w:rPr>
          <w:rFonts w:ascii="Arial" w:eastAsia="Times New Roman" w:hAnsi="Arial" w:cs="Arial"/>
        </w:rPr>
        <w:t>paragraph 2 of this Appendix 1;</w:t>
      </w:r>
    </w:p>
    <w:p w14:paraId="1E96154A" w14:textId="01D6F107" w:rsidR="009C601D" w:rsidRPr="001977EE" w:rsidRDefault="009C601D" w:rsidP="002E52E2">
      <w:pPr>
        <w:numPr>
          <w:ilvl w:val="0"/>
          <w:numId w:val="36"/>
        </w:numPr>
        <w:shd w:val="clear" w:color="auto" w:fill="FFFFFF"/>
        <w:spacing w:after="0" w:line="240" w:lineRule="auto"/>
        <w:rPr>
          <w:rFonts w:ascii="Times New Roman" w:eastAsia="Times New Roman" w:hAnsi="Times New Roman" w:cs="Times New Roman"/>
        </w:rPr>
      </w:pPr>
      <w:r w:rsidRPr="001977EE">
        <w:rPr>
          <w:rFonts w:ascii="Arial" w:eastAsia="Times New Roman" w:hAnsi="Arial" w:cs="Arial"/>
        </w:rPr>
        <w:t>Any successor bodies to any of the above; and</w:t>
      </w:r>
    </w:p>
    <w:p w14:paraId="7EBB8009" w14:textId="77777777" w:rsidR="009C601D" w:rsidRPr="001977EE" w:rsidRDefault="009C601D" w:rsidP="002E52E2">
      <w:pPr>
        <w:numPr>
          <w:ilvl w:val="0"/>
          <w:numId w:val="36"/>
        </w:numPr>
        <w:shd w:val="clear" w:color="auto" w:fill="FFFFFF"/>
        <w:spacing w:after="0" w:line="240" w:lineRule="auto"/>
        <w:rPr>
          <w:rFonts w:ascii="Times New Roman" w:eastAsia="Times New Roman" w:hAnsi="Times New Roman" w:cs="Times New Roman"/>
        </w:rPr>
      </w:pPr>
      <w:r w:rsidRPr="001977EE">
        <w:rPr>
          <w:rFonts w:ascii="Arial" w:eastAsia="Times New Roman" w:hAnsi="Arial" w:cs="Arial"/>
        </w:rPr>
        <w:t>All new bodies created which fall within the criteria set out above.</w:t>
      </w:r>
    </w:p>
    <w:p w14:paraId="27E71099" w14:textId="77777777" w:rsidR="00DF64FA" w:rsidRPr="001977EE" w:rsidRDefault="00DF64FA" w:rsidP="00AD2426">
      <w:pPr>
        <w:rPr>
          <w:rFonts w:ascii="Arial" w:eastAsia="Calibri" w:hAnsi="Arial" w:cs="Arial"/>
        </w:rPr>
      </w:pPr>
    </w:p>
    <w:p w14:paraId="476F9C13" w14:textId="7A4D2BE5" w:rsidR="00DF64FA" w:rsidRPr="001977EE" w:rsidRDefault="00DF64FA" w:rsidP="002E52E2">
      <w:pPr>
        <w:pStyle w:val="ListParagraph"/>
        <w:numPr>
          <w:ilvl w:val="0"/>
          <w:numId w:val="37"/>
        </w:numPr>
        <w:rPr>
          <w:rFonts w:ascii="Arial" w:eastAsia="Calibri" w:hAnsi="Arial" w:cs="Arial"/>
        </w:rPr>
      </w:pPr>
      <w:r w:rsidRPr="001977EE">
        <w:rPr>
          <w:rFonts w:ascii="Arial" w:eastAsia="Times New Roman" w:hAnsi="Arial" w:cs="Arial"/>
        </w:rPr>
        <w:t>The non-Departmental Public Bodies, other Public Bodies, Public Corporations and their subsidiary bodies sponsored by Central Government Departments are listed below:</w:t>
      </w:r>
    </w:p>
    <w:tbl>
      <w:tblPr>
        <w:tblStyle w:val="TableGrid"/>
        <w:tblW w:w="8791" w:type="dxa"/>
        <w:jc w:val="center"/>
        <w:tblLook w:val="04A0" w:firstRow="1" w:lastRow="0" w:firstColumn="1" w:lastColumn="0" w:noHBand="0" w:noVBand="1"/>
      </w:tblPr>
      <w:tblGrid>
        <w:gridCol w:w="8791"/>
      </w:tblGrid>
      <w:tr w:rsidR="001977EE" w:rsidRPr="001977EE" w14:paraId="661A55B2" w14:textId="77777777" w:rsidTr="009D55F7">
        <w:trPr>
          <w:trHeight w:val="264"/>
          <w:jc w:val="center"/>
        </w:trPr>
        <w:tc>
          <w:tcPr>
            <w:tcW w:w="8791" w:type="dxa"/>
            <w:hideMark/>
          </w:tcPr>
          <w:p w14:paraId="69470F14" w14:textId="77777777" w:rsidR="00DF64FA" w:rsidRPr="001977EE" w:rsidRDefault="00DF64FA" w:rsidP="009D55F7">
            <w:pPr>
              <w:spacing w:after="0" w:line="240" w:lineRule="auto"/>
              <w:ind w:right="459" w:firstLineChars="100" w:firstLine="220"/>
              <w:rPr>
                <w:rFonts w:ascii="Arial" w:eastAsia="Times New Roman" w:hAnsi="Arial" w:cs="Arial"/>
              </w:rPr>
            </w:pPr>
            <w:r w:rsidRPr="001977EE">
              <w:rPr>
                <w:rFonts w:ascii="Arial" w:eastAsia="Times New Roman" w:hAnsi="Arial" w:cs="Arial"/>
                <w:lang w:eastAsia="en-US"/>
              </w:rPr>
              <w:t>Advisory Conciliation and Arbitration Service (ACAS)</w:t>
            </w:r>
          </w:p>
        </w:tc>
      </w:tr>
      <w:tr w:rsidR="001977EE" w:rsidRPr="001977EE" w14:paraId="5D042F14" w14:textId="77777777" w:rsidTr="009D55F7">
        <w:trPr>
          <w:trHeight w:val="264"/>
          <w:jc w:val="center"/>
        </w:trPr>
        <w:tc>
          <w:tcPr>
            <w:tcW w:w="8791" w:type="dxa"/>
            <w:hideMark/>
          </w:tcPr>
          <w:p w14:paraId="1B5668EE" w14:textId="77777777" w:rsidR="00DF64FA" w:rsidRPr="001977EE" w:rsidRDefault="00DF64FA" w:rsidP="009D55F7">
            <w:pPr>
              <w:spacing w:after="0" w:line="240" w:lineRule="auto"/>
              <w:ind w:right="459" w:firstLineChars="100" w:firstLine="220"/>
              <w:rPr>
                <w:rFonts w:ascii="Arial" w:eastAsia="Times New Roman" w:hAnsi="Arial" w:cs="Arial"/>
              </w:rPr>
            </w:pPr>
            <w:r w:rsidRPr="001977EE">
              <w:rPr>
                <w:rFonts w:ascii="Arial" w:eastAsia="Times New Roman" w:hAnsi="Arial" w:cs="Arial"/>
                <w:lang w:eastAsia="en-US"/>
              </w:rPr>
              <w:t>Arts and Humanities Research Council</w:t>
            </w:r>
          </w:p>
        </w:tc>
      </w:tr>
      <w:tr w:rsidR="001977EE" w:rsidRPr="001977EE" w14:paraId="79B6FCF8" w14:textId="77777777" w:rsidTr="009D55F7">
        <w:trPr>
          <w:trHeight w:val="264"/>
          <w:jc w:val="center"/>
        </w:trPr>
        <w:tc>
          <w:tcPr>
            <w:tcW w:w="8791" w:type="dxa"/>
            <w:hideMark/>
          </w:tcPr>
          <w:p w14:paraId="048EEA16" w14:textId="77777777" w:rsidR="00DF64FA" w:rsidRPr="001977EE" w:rsidRDefault="00DF64FA" w:rsidP="009D55F7">
            <w:pPr>
              <w:spacing w:after="0" w:line="240" w:lineRule="auto"/>
              <w:ind w:right="459" w:firstLineChars="100" w:firstLine="220"/>
              <w:rPr>
                <w:rFonts w:ascii="Arial" w:eastAsia="Times New Roman" w:hAnsi="Arial" w:cs="Arial"/>
              </w:rPr>
            </w:pPr>
            <w:r w:rsidRPr="001977EE">
              <w:rPr>
                <w:rFonts w:ascii="Arial" w:eastAsia="Times New Roman" w:hAnsi="Arial" w:cs="Arial"/>
              </w:rPr>
              <w:t>Bank of England</w:t>
            </w:r>
          </w:p>
        </w:tc>
      </w:tr>
      <w:tr w:rsidR="001977EE" w:rsidRPr="001977EE" w14:paraId="1AA17ACE" w14:textId="77777777" w:rsidTr="009D55F7">
        <w:trPr>
          <w:trHeight w:val="264"/>
          <w:jc w:val="center"/>
        </w:trPr>
        <w:tc>
          <w:tcPr>
            <w:tcW w:w="8791" w:type="dxa"/>
            <w:hideMark/>
          </w:tcPr>
          <w:p w14:paraId="7C13B206" w14:textId="77777777" w:rsidR="00DF64FA" w:rsidRPr="001977EE" w:rsidRDefault="00DF64FA" w:rsidP="009D55F7">
            <w:pPr>
              <w:spacing w:after="0" w:line="240" w:lineRule="auto"/>
              <w:ind w:right="459" w:firstLineChars="100" w:firstLine="220"/>
              <w:rPr>
                <w:rFonts w:ascii="Arial" w:eastAsia="Times New Roman" w:hAnsi="Arial" w:cs="Arial"/>
              </w:rPr>
            </w:pPr>
            <w:r w:rsidRPr="001977EE">
              <w:rPr>
                <w:rFonts w:ascii="Arial" w:eastAsia="Times New Roman" w:hAnsi="Arial" w:cs="Arial"/>
                <w:lang w:eastAsia="en-US"/>
              </w:rPr>
              <w:t>Biotechnology and Biological Sciences Research Council</w:t>
            </w:r>
          </w:p>
        </w:tc>
      </w:tr>
      <w:tr w:rsidR="001977EE" w:rsidRPr="001977EE" w14:paraId="1A31032E" w14:textId="77777777" w:rsidTr="009D55F7">
        <w:trPr>
          <w:trHeight w:val="264"/>
          <w:jc w:val="center"/>
        </w:trPr>
        <w:tc>
          <w:tcPr>
            <w:tcW w:w="8791" w:type="dxa"/>
            <w:hideMark/>
          </w:tcPr>
          <w:p w14:paraId="3FF0F698" w14:textId="77777777" w:rsidR="00DF64FA" w:rsidRPr="001977EE" w:rsidRDefault="00DF64FA" w:rsidP="009D55F7">
            <w:pPr>
              <w:spacing w:after="0" w:line="240" w:lineRule="auto"/>
              <w:ind w:right="459" w:firstLineChars="100" w:firstLine="220"/>
              <w:rPr>
                <w:rFonts w:ascii="Arial" w:eastAsia="Times New Roman" w:hAnsi="Arial" w:cs="Arial"/>
              </w:rPr>
            </w:pPr>
            <w:r w:rsidRPr="001977EE">
              <w:rPr>
                <w:rFonts w:ascii="Arial" w:eastAsia="Times New Roman" w:hAnsi="Arial" w:cs="Arial"/>
                <w:lang w:eastAsia="en-US"/>
              </w:rPr>
              <w:t>BIS (Postal Services Act 2011) Company Limited</w:t>
            </w:r>
          </w:p>
        </w:tc>
      </w:tr>
      <w:tr w:rsidR="001977EE" w:rsidRPr="001977EE" w14:paraId="5AECA2A3" w14:textId="77777777" w:rsidTr="009D55F7">
        <w:trPr>
          <w:trHeight w:val="264"/>
          <w:jc w:val="center"/>
        </w:trPr>
        <w:tc>
          <w:tcPr>
            <w:tcW w:w="8791" w:type="dxa"/>
            <w:hideMark/>
          </w:tcPr>
          <w:p w14:paraId="6553CD02" w14:textId="77777777" w:rsidR="00DF64FA" w:rsidRPr="001977EE" w:rsidRDefault="00DF64FA" w:rsidP="009D55F7">
            <w:pPr>
              <w:spacing w:after="0" w:line="240" w:lineRule="auto"/>
              <w:ind w:right="459" w:firstLineChars="100" w:firstLine="220"/>
              <w:rPr>
                <w:rFonts w:ascii="Arial" w:eastAsia="Times New Roman" w:hAnsi="Arial" w:cs="Arial"/>
              </w:rPr>
            </w:pPr>
            <w:r w:rsidRPr="001977EE">
              <w:rPr>
                <w:rFonts w:ascii="Arial" w:eastAsia="Times New Roman" w:hAnsi="Arial" w:cs="Arial"/>
              </w:rPr>
              <w:t>BPDTS Limited</w:t>
            </w:r>
          </w:p>
        </w:tc>
      </w:tr>
      <w:tr w:rsidR="001977EE" w:rsidRPr="001977EE" w14:paraId="76E1D83C" w14:textId="77777777" w:rsidTr="009D55F7">
        <w:trPr>
          <w:trHeight w:val="264"/>
          <w:jc w:val="center"/>
        </w:trPr>
        <w:tc>
          <w:tcPr>
            <w:tcW w:w="8791" w:type="dxa"/>
            <w:hideMark/>
          </w:tcPr>
          <w:p w14:paraId="43282A0C" w14:textId="77777777" w:rsidR="00DF64FA" w:rsidRPr="001977EE" w:rsidRDefault="00DF64FA" w:rsidP="009D55F7">
            <w:pPr>
              <w:spacing w:after="0" w:line="240" w:lineRule="auto"/>
              <w:ind w:right="459" w:firstLineChars="100" w:firstLine="220"/>
              <w:rPr>
                <w:rFonts w:ascii="Arial" w:eastAsia="Times New Roman" w:hAnsi="Arial" w:cs="Arial"/>
              </w:rPr>
            </w:pPr>
            <w:r w:rsidRPr="001977EE">
              <w:rPr>
                <w:rFonts w:ascii="Arial" w:eastAsia="Times New Roman" w:hAnsi="Arial" w:cs="Arial"/>
                <w:lang w:eastAsia="en-US"/>
              </w:rPr>
              <w:t>British Business Bank PLC (and Capital for Enterprise Limited. now part of BBB)</w:t>
            </w:r>
          </w:p>
        </w:tc>
      </w:tr>
      <w:tr w:rsidR="001977EE" w:rsidRPr="001977EE" w14:paraId="72186947" w14:textId="77777777" w:rsidTr="009D55F7">
        <w:trPr>
          <w:trHeight w:val="264"/>
          <w:jc w:val="center"/>
        </w:trPr>
        <w:tc>
          <w:tcPr>
            <w:tcW w:w="8791" w:type="dxa"/>
            <w:hideMark/>
          </w:tcPr>
          <w:p w14:paraId="513179BF" w14:textId="77777777" w:rsidR="00DF64FA" w:rsidRPr="001977EE" w:rsidRDefault="00DF64FA" w:rsidP="009D55F7">
            <w:pPr>
              <w:spacing w:after="0" w:line="240" w:lineRule="auto"/>
              <w:ind w:right="459" w:firstLineChars="100" w:firstLine="220"/>
              <w:rPr>
                <w:rFonts w:ascii="Arial" w:eastAsia="Times New Roman" w:hAnsi="Arial" w:cs="Arial"/>
              </w:rPr>
            </w:pPr>
            <w:r w:rsidRPr="001977EE">
              <w:rPr>
                <w:rFonts w:ascii="Arial" w:eastAsia="Times New Roman" w:hAnsi="Arial" w:cs="Arial"/>
              </w:rPr>
              <w:t>British Tourist Authority</w:t>
            </w:r>
          </w:p>
        </w:tc>
      </w:tr>
      <w:tr w:rsidR="001977EE" w:rsidRPr="001977EE" w14:paraId="65829DA1" w14:textId="77777777" w:rsidTr="009D55F7">
        <w:trPr>
          <w:trHeight w:val="264"/>
          <w:jc w:val="center"/>
        </w:trPr>
        <w:tc>
          <w:tcPr>
            <w:tcW w:w="8791" w:type="dxa"/>
            <w:hideMark/>
          </w:tcPr>
          <w:p w14:paraId="2D8BC147" w14:textId="77777777" w:rsidR="00DF64FA" w:rsidRPr="001977EE" w:rsidRDefault="00DF64FA" w:rsidP="009D55F7">
            <w:pPr>
              <w:spacing w:after="0" w:line="240" w:lineRule="auto"/>
              <w:ind w:right="459" w:firstLineChars="100" w:firstLine="220"/>
              <w:rPr>
                <w:rFonts w:ascii="Arial" w:eastAsia="Times New Roman" w:hAnsi="Arial" w:cs="Arial"/>
              </w:rPr>
            </w:pPr>
            <w:r w:rsidRPr="001977EE">
              <w:rPr>
                <w:rFonts w:ascii="Arial" w:eastAsia="Times New Roman" w:hAnsi="Arial" w:cs="Arial"/>
              </w:rPr>
              <w:t>Building Regulations Advisory Committee</w:t>
            </w:r>
          </w:p>
        </w:tc>
      </w:tr>
      <w:tr w:rsidR="001977EE" w:rsidRPr="001977EE" w14:paraId="39681BB2" w14:textId="77777777" w:rsidTr="009D55F7">
        <w:trPr>
          <w:trHeight w:val="264"/>
          <w:jc w:val="center"/>
        </w:trPr>
        <w:tc>
          <w:tcPr>
            <w:tcW w:w="8791" w:type="dxa"/>
            <w:hideMark/>
          </w:tcPr>
          <w:p w14:paraId="5EE60559" w14:textId="77777777" w:rsidR="00DF64FA" w:rsidRPr="001977EE" w:rsidRDefault="00DF64FA" w:rsidP="009D55F7">
            <w:pPr>
              <w:spacing w:after="0" w:line="240" w:lineRule="auto"/>
              <w:ind w:right="459" w:firstLineChars="100" w:firstLine="220"/>
              <w:rPr>
                <w:rFonts w:ascii="Arial" w:eastAsia="Times New Roman" w:hAnsi="Arial" w:cs="Arial"/>
              </w:rPr>
            </w:pPr>
            <w:r w:rsidRPr="001977EE">
              <w:rPr>
                <w:rFonts w:ascii="Arial" w:eastAsia="Times New Roman" w:hAnsi="Arial" w:cs="Arial"/>
              </w:rPr>
              <w:t>Care Quality Commission (CQC)</w:t>
            </w:r>
          </w:p>
        </w:tc>
      </w:tr>
      <w:tr w:rsidR="001977EE" w:rsidRPr="001977EE" w14:paraId="6A8D61B7" w14:textId="77777777" w:rsidTr="009D55F7">
        <w:trPr>
          <w:trHeight w:val="264"/>
          <w:jc w:val="center"/>
        </w:trPr>
        <w:tc>
          <w:tcPr>
            <w:tcW w:w="8791" w:type="dxa"/>
            <w:hideMark/>
          </w:tcPr>
          <w:p w14:paraId="69FB58DF" w14:textId="77777777" w:rsidR="00DF64FA" w:rsidRPr="001977EE" w:rsidRDefault="00DF64FA" w:rsidP="009D55F7">
            <w:pPr>
              <w:spacing w:after="0" w:line="240" w:lineRule="auto"/>
              <w:ind w:right="459" w:firstLineChars="100" w:firstLine="220"/>
              <w:rPr>
                <w:rFonts w:ascii="Arial" w:eastAsia="Times New Roman" w:hAnsi="Arial" w:cs="Arial"/>
              </w:rPr>
            </w:pPr>
            <w:proofErr w:type="spellStart"/>
            <w:r w:rsidRPr="001977EE">
              <w:rPr>
                <w:rFonts w:ascii="Arial" w:eastAsia="Times New Roman" w:hAnsi="Arial" w:cs="Arial"/>
              </w:rPr>
              <w:t>Centers</w:t>
            </w:r>
            <w:proofErr w:type="spellEnd"/>
            <w:r w:rsidRPr="001977EE">
              <w:rPr>
                <w:rFonts w:ascii="Arial" w:eastAsia="Times New Roman" w:hAnsi="Arial" w:cs="Arial"/>
              </w:rPr>
              <w:t xml:space="preserve"> for Disease Control and Prevention limited</w:t>
            </w:r>
          </w:p>
        </w:tc>
      </w:tr>
      <w:tr w:rsidR="001977EE" w:rsidRPr="001977EE" w14:paraId="5C9FC83E" w14:textId="77777777" w:rsidTr="009D55F7">
        <w:trPr>
          <w:trHeight w:val="264"/>
          <w:jc w:val="center"/>
        </w:trPr>
        <w:tc>
          <w:tcPr>
            <w:tcW w:w="8791" w:type="dxa"/>
            <w:hideMark/>
          </w:tcPr>
          <w:p w14:paraId="4CEA893D" w14:textId="77777777" w:rsidR="00DF64FA" w:rsidRPr="001977EE" w:rsidRDefault="00DF64FA" w:rsidP="009D55F7">
            <w:pPr>
              <w:spacing w:after="0" w:line="240" w:lineRule="auto"/>
              <w:ind w:right="459" w:firstLineChars="100" w:firstLine="220"/>
              <w:rPr>
                <w:rFonts w:ascii="Arial" w:eastAsia="Times New Roman" w:hAnsi="Arial" w:cs="Arial"/>
              </w:rPr>
            </w:pPr>
            <w:r w:rsidRPr="001977EE">
              <w:rPr>
                <w:rFonts w:ascii="Arial" w:eastAsia="Times New Roman" w:hAnsi="Arial" w:cs="Arial"/>
              </w:rPr>
              <w:t>Chequers Trust</w:t>
            </w:r>
          </w:p>
        </w:tc>
      </w:tr>
      <w:tr w:rsidR="001977EE" w:rsidRPr="001977EE" w14:paraId="267C9C39" w14:textId="77777777" w:rsidTr="009D55F7">
        <w:trPr>
          <w:trHeight w:val="264"/>
          <w:jc w:val="center"/>
        </w:trPr>
        <w:tc>
          <w:tcPr>
            <w:tcW w:w="8791" w:type="dxa"/>
            <w:hideMark/>
          </w:tcPr>
          <w:p w14:paraId="78D1DF9E" w14:textId="77777777" w:rsidR="00DF64FA" w:rsidRPr="001977EE" w:rsidRDefault="00DF64FA" w:rsidP="009D55F7">
            <w:pPr>
              <w:spacing w:after="0" w:line="240" w:lineRule="auto"/>
              <w:ind w:right="459" w:firstLineChars="100" w:firstLine="220"/>
              <w:rPr>
                <w:rFonts w:ascii="Arial" w:eastAsia="Times New Roman" w:hAnsi="Arial" w:cs="Arial"/>
              </w:rPr>
            </w:pPr>
            <w:proofErr w:type="spellStart"/>
            <w:r w:rsidRPr="001977EE">
              <w:rPr>
                <w:rFonts w:ascii="Arial" w:eastAsia="Times New Roman" w:hAnsi="Arial" w:cs="Arial"/>
              </w:rPr>
              <w:t>Chevening</w:t>
            </w:r>
            <w:proofErr w:type="spellEnd"/>
            <w:r w:rsidRPr="001977EE">
              <w:rPr>
                <w:rFonts w:ascii="Arial" w:eastAsia="Times New Roman" w:hAnsi="Arial" w:cs="Arial"/>
              </w:rPr>
              <w:t xml:space="preserve"> Estate/Trust</w:t>
            </w:r>
          </w:p>
        </w:tc>
      </w:tr>
      <w:tr w:rsidR="001977EE" w:rsidRPr="001977EE" w14:paraId="36354566" w14:textId="77777777" w:rsidTr="009D55F7">
        <w:trPr>
          <w:trHeight w:val="264"/>
          <w:jc w:val="center"/>
        </w:trPr>
        <w:tc>
          <w:tcPr>
            <w:tcW w:w="8791" w:type="dxa"/>
            <w:hideMark/>
          </w:tcPr>
          <w:p w14:paraId="1581F8DF" w14:textId="77777777" w:rsidR="00DF64FA" w:rsidRPr="001977EE" w:rsidRDefault="00DF64FA" w:rsidP="009D55F7">
            <w:pPr>
              <w:spacing w:after="0" w:line="240" w:lineRule="auto"/>
              <w:ind w:right="459" w:firstLineChars="100" w:firstLine="220"/>
              <w:rPr>
                <w:rFonts w:ascii="Arial" w:eastAsia="Times New Roman" w:hAnsi="Arial" w:cs="Arial"/>
              </w:rPr>
            </w:pPr>
            <w:r w:rsidRPr="001977EE">
              <w:rPr>
                <w:rFonts w:ascii="Arial" w:eastAsia="Times New Roman" w:hAnsi="Arial" w:cs="Arial"/>
              </w:rPr>
              <w:t>Children and Family Court Advisory Service</w:t>
            </w:r>
          </w:p>
        </w:tc>
      </w:tr>
      <w:tr w:rsidR="001977EE" w:rsidRPr="001977EE" w14:paraId="7FD5EE42" w14:textId="77777777" w:rsidTr="009D55F7">
        <w:trPr>
          <w:trHeight w:val="264"/>
          <w:jc w:val="center"/>
        </w:trPr>
        <w:tc>
          <w:tcPr>
            <w:tcW w:w="8791" w:type="dxa"/>
            <w:hideMark/>
          </w:tcPr>
          <w:p w14:paraId="34B43159" w14:textId="77777777" w:rsidR="00DF64FA" w:rsidRPr="001977EE" w:rsidRDefault="00DF64FA" w:rsidP="009D55F7">
            <w:pPr>
              <w:spacing w:after="0" w:line="240" w:lineRule="auto"/>
              <w:ind w:right="459" w:firstLineChars="100" w:firstLine="220"/>
              <w:rPr>
                <w:rFonts w:ascii="Arial" w:eastAsia="Times New Roman" w:hAnsi="Arial" w:cs="Arial"/>
              </w:rPr>
            </w:pPr>
            <w:r w:rsidRPr="001977EE">
              <w:rPr>
                <w:rFonts w:ascii="Arial" w:eastAsia="Times New Roman" w:hAnsi="Arial" w:cs="Arial"/>
              </w:rPr>
              <w:t>Civil Nuclear Police Authority</w:t>
            </w:r>
          </w:p>
        </w:tc>
      </w:tr>
      <w:tr w:rsidR="001977EE" w:rsidRPr="001977EE" w14:paraId="37D98041" w14:textId="77777777" w:rsidTr="009D55F7">
        <w:trPr>
          <w:trHeight w:val="264"/>
          <w:jc w:val="center"/>
        </w:trPr>
        <w:tc>
          <w:tcPr>
            <w:tcW w:w="8791" w:type="dxa"/>
            <w:hideMark/>
          </w:tcPr>
          <w:p w14:paraId="4D224C64" w14:textId="77777777" w:rsidR="00DF64FA" w:rsidRPr="001977EE" w:rsidRDefault="00DF64FA" w:rsidP="009D55F7">
            <w:pPr>
              <w:spacing w:after="0" w:line="240" w:lineRule="auto"/>
              <w:ind w:right="459" w:firstLineChars="100" w:firstLine="220"/>
              <w:rPr>
                <w:rFonts w:ascii="Arial" w:eastAsia="Times New Roman" w:hAnsi="Arial" w:cs="Arial"/>
              </w:rPr>
            </w:pPr>
            <w:r w:rsidRPr="001977EE">
              <w:rPr>
                <w:rFonts w:ascii="Arial" w:eastAsia="Times New Roman" w:hAnsi="Arial" w:cs="Arial"/>
              </w:rPr>
              <w:t>Civil Service Arbitration Tribunal</w:t>
            </w:r>
          </w:p>
        </w:tc>
      </w:tr>
      <w:tr w:rsidR="001977EE" w:rsidRPr="001977EE" w14:paraId="39A3B315" w14:textId="77777777" w:rsidTr="009D55F7">
        <w:trPr>
          <w:trHeight w:val="264"/>
          <w:jc w:val="center"/>
        </w:trPr>
        <w:tc>
          <w:tcPr>
            <w:tcW w:w="8791" w:type="dxa"/>
            <w:hideMark/>
          </w:tcPr>
          <w:p w14:paraId="2E1A14FB"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Civil Service Commission</w:t>
            </w:r>
          </w:p>
        </w:tc>
      </w:tr>
      <w:tr w:rsidR="001977EE" w:rsidRPr="001977EE" w14:paraId="76C7FA2C" w14:textId="77777777" w:rsidTr="009D55F7">
        <w:trPr>
          <w:trHeight w:val="264"/>
          <w:jc w:val="center"/>
        </w:trPr>
        <w:tc>
          <w:tcPr>
            <w:tcW w:w="8791" w:type="dxa"/>
            <w:hideMark/>
          </w:tcPr>
          <w:p w14:paraId="5819F48F"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Coal Authority</w:t>
            </w:r>
          </w:p>
        </w:tc>
      </w:tr>
      <w:tr w:rsidR="001977EE" w:rsidRPr="001977EE" w14:paraId="44663BA2" w14:textId="77777777" w:rsidTr="009D55F7">
        <w:trPr>
          <w:trHeight w:val="264"/>
          <w:jc w:val="center"/>
        </w:trPr>
        <w:tc>
          <w:tcPr>
            <w:tcW w:w="8791" w:type="dxa"/>
            <w:hideMark/>
          </w:tcPr>
          <w:p w14:paraId="70D55D39"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College of Policing</w:t>
            </w:r>
          </w:p>
        </w:tc>
      </w:tr>
      <w:tr w:rsidR="001977EE" w:rsidRPr="001977EE" w14:paraId="2CDB4F1D" w14:textId="77777777" w:rsidTr="009D55F7">
        <w:trPr>
          <w:trHeight w:val="264"/>
          <w:jc w:val="center"/>
        </w:trPr>
        <w:tc>
          <w:tcPr>
            <w:tcW w:w="8791" w:type="dxa"/>
            <w:hideMark/>
          </w:tcPr>
          <w:p w14:paraId="210A8D4C"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Commission for Local Administration</w:t>
            </w:r>
          </w:p>
        </w:tc>
      </w:tr>
      <w:tr w:rsidR="001977EE" w:rsidRPr="001977EE" w14:paraId="0CFD4B92" w14:textId="77777777" w:rsidTr="009D55F7">
        <w:trPr>
          <w:trHeight w:val="264"/>
          <w:jc w:val="center"/>
        </w:trPr>
        <w:tc>
          <w:tcPr>
            <w:tcW w:w="8791" w:type="dxa"/>
            <w:hideMark/>
          </w:tcPr>
          <w:p w14:paraId="7476CF58"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Committee on Climate Change</w:t>
            </w:r>
          </w:p>
        </w:tc>
      </w:tr>
      <w:tr w:rsidR="001977EE" w:rsidRPr="001977EE" w14:paraId="442E9ADD" w14:textId="77777777" w:rsidTr="009D55F7">
        <w:trPr>
          <w:trHeight w:val="264"/>
          <w:jc w:val="center"/>
        </w:trPr>
        <w:tc>
          <w:tcPr>
            <w:tcW w:w="8791" w:type="dxa"/>
            <w:hideMark/>
          </w:tcPr>
          <w:p w14:paraId="6C48E964"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 xml:space="preserve">Commonwealth Scholarship Commission </w:t>
            </w:r>
          </w:p>
        </w:tc>
      </w:tr>
      <w:tr w:rsidR="001977EE" w:rsidRPr="001977EE" w14:paraId="21B5B821" w14:textId="77777777" w:rsidTr="009D55F7">
        <w:trPr>
          <w:trHeight w:val="264"/>
          <w:jc w:val="center"/>
        </w:trPr>
        <w:tc>
          <w:tcPr>
            <w:tcW w:w="8791" w:type="dxa"/>
            <w:hideMark/>
          </w:tcPr>
          <w:p w14:paraId="4AF7DBBD"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lang w:eastAsia="en-US"/>
              </w:rPr>
              <w:t xml:space="preserve">Competition and Markets Authority </w:t>
            </w:r>
          </w:p>
        </w:tc>
      </w:tr>
      <w:tr w:rsidR="001977EE" w:rsidRPr="001977EE" w14:paraId="7B11A74A" w14:textId="77777777" w:rsidTr="009D55F7">
        <w:trPr>
          <w:trHeight w:val="264"/>
          <w:jc w:val="center"/>
        </w:trPr>
        <w:tc>
          <w:tcPr>
            <w:tcW w:w="8791" w:type="dxa"/>
            <w:hideMark/>
          </w:tcPr>
          <w:p w14:paraId="536594FE"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lang w:eastAsia="en-US"/>
              </w:rPr>
              <w:t>Construction Industry Training Board</w:t>
            </w:r>
          </w:p>
        </w:tc>
      </w:tr>
      <w:tr w:rsidR="001977EE" w:rsidRPr="001977EE" w14:paraId="49DD06AB" w14:textId="77777777" w:rsidTr="009D55F7">
        <w:trPr>
          <w:trHeight w:val="264"/>
          <w:jc w:val="center"/>
        </w:trPr>
        <w:tc>
          <w:tcPr>
            <w:tcW w:w="8791" w:type="dxa"/>
            <w:hideMark/>
          </w:tcPr>
          <w:p w14:paraId="6F4BCBF9"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Criminal Cases Review Commission</w:t>
            </w:r>
          </w:p>
        </w:tc>
      </w:tr>
      <w:tr w:rsidR="001977EE" w:rsidRPr="001977EE" w14:paraId="540DDA8E" w14:textId="77777777" w:rsidTr="009D55F7">
        <w:trPr>
          <w:trHeight w:val="264"/>
          <w:jc w:val="center"/>
        </w:trPr>
        <w:tc>
          <w:tcPr>
            <w:tcW w:w="8791" w:type="dxa"/>
            <w:hideMark/>
          </w:tcPr>
          <w:p w14:paraId="3F55A7A9"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Crown Commercial Services</w:t>
            </w:r>
          </w:p>
        </w:tc>
      </w:tr>
      <w:tr w:rsidR="001977EE" w:rsidRPr="001977EE" w14:paraId="68A27297" w14:textId="77777777" w:rsidTr="009D55F7">
        <w:trPr>
          <w:trHeight w:val="264"/>
          <w:jc w:val="center"/>
        </w:trPr>
        <w:tc>
          <w:tcPr>
            <w:tcW w:w="8791" w:type="dxa"/>
            <w:hideMark/>
          </w:tcPr>
          <w:p w14:paraId="32866376"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CTRL Section 1 Finance plc</w:t>
            </w:r>
          </w:p>
        </w:tc>
      </w:tr>
      <w:tr w:rsidR="001977EE" w:rsidRPr="001977EE" w14:paraId="649C101F" w14:textId="77777777" w:rsidTr="009D55F7">
        <w:trPr>
          <w:trHeight w:val="264"/>
          <w:jc w:val="center"/>
        </w:trPr>
        <w:tc>
          <w:tcPr>
            <w:tcW w:w="8791" w:type="dxa"/>
            <w:hideMark/>
          </w:tcPr>
          <w:p w14:paraId="3B130B0F"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Defence Equipment and Support</w:t>
            </w:r>
          </w:p>
        </w:tc>
      </w:tr>
      <w:tr w:rsidR="001977EE" w:rsidRPr="001977EE" w14:paraId="2F8D2AE5" w14:textId="77777777" w:rsidTr="009D55F7">
        <w:trPr>
          <w:trHeight w:val="264"/>
          <w:jc w:val="center"/>
        </w:trPr>
        <w:tc>
          <w:tcPr>
            <w:tcW w:w="8791" w:type="dxa"/>
            <w:hideMark/>
          </w:tcPr>
          <w:p w14:paraId="52234EA6"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lang w:eastAsia="en-US"/>
              </w:rPr>
              <w:t xml:space="preserve">Diamond Light Source </w:t>
            </w:r>
          </w:p>
        </w:tc>
      </w:tr>
      <w:tr w:rsidR="001977EE" w:rsidRPr="001977EE" w14:paraId="5D4E35E4" w14:textId="77777777" w:rsidTr="009D55F7">
        <w:trPr>
          <w:trHeight w:val="264"/>
          <w:jc w:val="center"/>
        </w:trPr>
        <w:tc>
          <w:tcPr>
            <w:tcW w:w="8791" w:type="dxa"/>
            <w:hideMark/>
          </w:tcPr>
          <w:p w14:paraId="55B35EF1"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lastRenderedPageBreak/>
              <w:t>Directly Operated Railways Limited</w:t>
            </w:r>
          </w:p>
        </w:tc>
      </w:tr>
      <w:tr w:rsidR="001977EE" w:rsidRPr="001977EE" w14:paraId="0169B6A4" w14:textId="77777777" w:rsidTr="009D55F7">
        <w:trPr>
          <w:trHeight w:val="264"/>
          <w:jc w:val="center"/>
        </w:trPr>
        <w:tc>
          <w:tcPr>
            <w:tcW w:w="8791" w:type="dxa"/>
            <w:hideMark/>
          </w:tcPr>
          <w:p w14:paraId="1C764CB7"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Disabled People’s Employment Corporation (GB) Limited</w:t>
            </w:r>
          </w:p>
        </w:tc>
      </w:tr>
      <w:tr w:rsidR="001977EE" w:rsidRPr="001977EE" w14:paraId="70E0A300" w14:textId="77777777" w:rsidTr="009D55F7">
        <w:trPr>
          <w:trHeight w:val="264"/>
          <w:jc w:val="center"/>
        </w:trPr>
        <w:tc>
          <w:tcPr>
            <w:tcW w:w="8791" w:type="dxa"/>
            <w:hideMark/>
          </w:tcPr>
          <w:p w14:paraId="4F9060DB"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Disclosure and Barring Service</w:t>
            </w:r>
          </w:p>
        </w:tc>
      </w:tr>
      <w:tr w:rsidR="001977EE" w:rsidRPr="001977EE" w14:paraId="6E8265E1" w14:textId="77777777" w:rsidTr="009D55F7">
        <w:trPr>
          <w:trHeight w:val="264"/>
          <w:jc w:val="center"/>
        </w:trPr>
        <w:tc>
          <w:tcPr>
            <w:tcW w:w="8791" w:type="dxa"/>
            <w:hideMark/>
          </w:tcPr>
          <w:p w14:paraId="74DA1C73" w14:textId="77777777" w:rsidR="00DF64FA" w:rsidRPr="001977EE" w:rsidRDefault="00DF64FA" w:rsidP="00AD2426">
            <w:pPr>
              <w:spacing w:after="0" w:line="240" w:lineRule="auto"/>
              <w:ind w:right="459" w:firstLineChars="100" w:firstLine="220"/>
              <w:rPr>
                <w:rFonts w:ascii="Arial" w:eastAsia="Times New Roman" w:hAnsi="Arial" w:cs="Arial"/>
              </w:rPr>
            </w:pPr>
            <w:proofErr w:type="spellStart"/>
            <w:r w:rsidRPr="001977EE">
              <w:rPr>
                <w:rFonts w:ascii="Arial" w:eastAsia="Times New Roman" w:hAnsi="Arial" w:cs="Arial"/>
              </w:rPr>
              <w:t>Dorneywood</w:t>
            </w:r>
            <w:proofErr w:type="spellEnd"/>
            <w:r w:rsidRPr="001977EE">
              <w:rPr>
                <w:rFonts w:ascii="Arial" w:eastAsia="Times New Roman" w:hAnsi="Arial" w:cs="Arial"/>
              </w:rPr>
              <w:t xml:space="preserve"> Trust</w:t>
            </w:r>
          </w:p>
        </w:tc>
      </w:tr>
      <w:tr w:rsidR="001977EE" w:rsidRPr="001977EE" w14:paraId="4C90CAF4" w14:textId="77777777" w:rsidTr="009D55F7">
        <w:trPr>
          <w:trHeight w:val="264"/>
          <w:jc w:val="center"/>
        </w:trPr>
        <w:tc>
          <w:tcPr>
            <w:tcW w:w="8791" w:type="dxa"/>
            <w:hideMark/>
          </w:tcPr>
          <w:p w14:paraId="1B8B5D8E"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lang w:eastAsia="en-US"/>
              </w:rPr>
              <w:t>Economic and Social Research Council</w:t>
            </w:r>
          </w:p>
        </w:tc>
      </w:tr>
      <w:tr w:rsidR="001977EE" w:rsidRPr="001977EE" w14:paraId="0D7C5B61" w14:textId="77777777" w:rsidTr="009D55F7">
        <w:trPr>
          <w:trHeight w:val="264"/>
          <w:jc w:val="center"/>
        </w:trPr>
        <w:tc>
          <w:tcPr>
            <w:tcW w:w="8791" w:type="dxa"/>
            <w:hideMark/>
          </w:tcPr>
          <w:p w14:paraId="69C6DF96"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lang w:eastAsia="en-US"/>
              </w:rPr>
              <w:t>Engineering and Physical Sciences Research Council</w:t>
            </w:r>
          </w:p>
        </w:tc>
      </w:tr>
      <w:tr w:rsidR="001977EE" w:rsidRPr="001977EE" w14:paraId="4D3435B5" w14:textId="77777777" w:rsidTr="009D55F7">
        <w:trPr>
          <w:trHeight w:val="264"/>
          <w:jc w:val="center"/>
        </w:trPr>
        <w:tc>
          <w:tcPr>
            <w:tcW w:w="8791" w:type="dxa"/>
            <w:hideMark/>
          </w:tcPr>
          <w:p w14:paraId="76CA6290"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English Tourist Board</w:t>
            </w:r>
          </w:p>
        </w:tc>
      </w:tr>
      <w:tr w:rsidR="001977EE" w:rsidRPr="001977EE" w14:paraId="1D0B1BE4" w14:textId="77777777" w:rsidTr="009D55F7">
        <w:trPr>
          <w:trHeight w:val="264"/>
          <w:jc w:val="center"/>
        </w:trPr>
        <w:tc>
          <w:tcPr>
            <w:tcW w:w="8791" w:type="dxa"/>
            <w:hideMark/>
          </w:tcPr>
          <w:p w14:paraId="66FD4348"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Environment Agency</w:t>
            </w:r>
          </w:p>
        </w:tc>
      </w:tr>
      <w:tr w:rsidR="001977EE" w:rsidRPr="001977EE" w14:paraId="18C27818" w14:textId="77777777" w:rsidTr="009D55F7">
        <w:trPr>
          <w:trHeight w:val="264"/>
          <w:jc w:val="center"/>
        </w:trPr>
        <w:tc>
          <w:tcPr>
            <w:tcW w:w="8791" w:type="dxa"/>
            <w:hideMark/>
          </w:tcPr>
          <w:p w14:paraId="4E39C189"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Equalities and Human Rights Commission</w:t>
            </w:r>
          </w:p>
        </w:tc>
      </w:tr>
      <w:tr w:rsidR="001977EE" w:rsidRPr="001977EE" w14:paraId="667924DE" w14:textId="77777777" w:rsidTr="009D55F7">
        <w:trPr>
          <w:trHeight w:val="264"/>
          <w:jc w:val="center"/>
        </w:trPr>
        <w:tc>
          <w:tcPr>
            <w:tcW w:w="8791" w:type="dxa"/>
            <w:hideMark/>
          </w:tcPr>
          <w:p w14:paraId="7785E398"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lang w:eastAsia="en-US"/>
              </w:rPr>
              <w:t>Financial Reporting Council</w:t>
            </w:r>
          </w:p>
        </w:tc>
      </w:tr>
      <w:tr w:rsidR="001977EE" w:rsidRPr="001977EE" w14:paraId="18EAFEB3" w14:textId="77777777" w:rsidTr="009D55F7">
        <w:trPr>
          <w:trHeight w:val="264"/>
          <w:jc w:val="center"/>
        </w:trPr>
        <w:tc>
          <w:tcPr>
            <w:tcW w:w="8791" w:type="dxa"/>
            <w:hideMark/>
          </w:tcPr>
          <w:p w14:paraId="50885328"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 xml:space="preserve">Fire Services College </w:t>
            </w:r>
          </w:p>
        </w:tc>
      </w:tr>
      <w:tr w:rsidR="001977EE" w:rsidRPr="001977EE" w14:paraId="67477872" w14:textId="77777777" w:rsidTr="009D55F7">
        <w:trPr>
          <w:trHeight w:val="264"/>
          <w:jc w:val="center"/>
        </w:trPr>
        <w:tc>
          <w:tcPr>
            <w:tcW w:w="8791" w:type="dxa"/>
            <w:hideMark/>
          </w:tcPr>
          <w:p w14:paraId="0A39D25A" w14:textId="77777777" w:rsidR="00DF64FA" w:rsidRPr="001977EE" w:rsidRDefault="00DF64FA" w:rsidP="00AD2426">
            <w:pPr>
              <w:spacing w:after="0" w:line="240" w:lineRule="auto"/>
              <w:ind w:right="459" w:firstLineChars="100" w:firstLine="220"/>
              <w:rPr>
                <w:rFonts w:ascii="Arial" w:eastAsia="Times New Roman" w:hAnsi="Arial" w:cs="Arial"/>
              </w:rPr>
            </w:pPr>
            <w:proofErr w:type="spellStart"/>
            <w:r w:rsidRPr="001977EE">
              <w:rPr>
                <w:rFonts w:ascii="Arial" w:eastAsia="Times New Roman" w:hAnsi="Arial" w:cs="Arial"/>
              </w:rPr>
              <w:t>Gangmasters</w:t>
            </w:r>
            <w:proofErr w:type="spellEnd"/>
            <w:r w:rsidRPr="001977EE">
              <w:rPr>
                <w:rFonts w:ascii="Arial" w:eastAsia="Times New Roman" w:hAnsi="Arial" w:cs="Arial"/>
              </w:rPr>
              <w:t xml:space="preserve"> Licensing Authority</w:t>
            </w:r>
          </w:p>
        </w:tc>
      </w:tr>
      <w:tr w:rsidR="001977EE" w:rsidRPr="001977EE" w14:paraId="4CA671EF" w14:textId="77777777" w:rsidTr="009D55F7">
        <w:trPr>
          <w:trHeight w:val="264"/>
          <w:jc w:val="center"/>
        </w:trPr>
        <w:tc>
          <w:tcPr>
            <w:tcW w:w="8791" w:type="dxa"/>
            <w:hideMark/>
          </w:tcPr>
          <w:p w14:paraId="3BE49EA2" w14:textId="6E0A39F1" w:rsidR="00DF64FA" w:rsidRPr="001977EE" w:rsidRDefault="00DF64FA" w:rsidP="008C7534">
            <w:pPr>
              <w:spacing w:after="0" w:line="240" w:lineRule="auto"/>
              <w:ind w:right="459" w:firstLineChars="100" w:firstLine="220"/>
              <w:rPr>
                <w:rFonts w:ascii="Arial" w:eastAsia="Times New Roman" w:hAnsi="Arial" w:cs="Arial"/>
              </w:rPr>
            </w:pPr>
            <w:r w:rsidRPr="001977EE">
              <w:rPr>
                <w:rFonts w:ascii="Arial" w:eastAsia="Times New Roman" w:hAnsi="Arial" w:cs="Arial"/>
              </w:rPr>
              <w:t xml:space="preserve">Government Communications Headquarters </w:t>
            </w:r>
          </w:p>
        </w:tc>
      </w:tr>
      <w:tr w:rsidR="001977EE" w:rsidRPr="001977EE" w14:paraId="16E36723" w14:textId="77777777" w:rsidTr="009D55F7">
        <w:trPr>
          <w:trHeight w:val="264"/>
          <w:jc w:val="center"/>
        </w:trPr>
        <w:tc>
          <w:tcPr>
            <w:tcW w:w="8791" w:type="dxa"/>
            <w:hideMark/>
          </w:tcPr>
          <w:p w14:paraId="286DC9CC"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Groundwork Trusts (</w:t>
            </w:r>
            <w:proofErr w:type="spellStart"/>
            <w:r w:rsidRPr="001977EE">
              <w:rPr>
                <w:rFonts w:ascii="Arial" w:eastAsia="Times New Roman" w:hAnsi="Arial" w:cs="Arial"/>
              </w:rPr>
              <w:t>en</w:t>
            </w:r>
            <w:proofErr w:type="spellEnd"/>
            <w:r w:rsidRPr="001977EE">
              <w:rPr>
                <w:rFonts w:ascii="Arial" w:eastAsia="Times New Roman" w:hAnsi="Arial" w:cs="Arial"/>
              </w:rPr>
              <w:t xml:space="preserve"> bloc)</w:t>
            </w:r>
          </w:p>
        </w:tc>
      </w:tr>
      <w:tr w:rsidR="001977EE" w:rsidRPr="001977EE" w14:paraId="4F1072FD" w14:textId="77777777" w:rsidTr="009D55F7">
        <w:trPr>
          <w:trHeight w:val="264"/>
          <w:jc w:val="center"/>
        </w:trPr>
        <w:tc>
          <w:tcPr>
            <w:tcW w:w="8791" w:type="dxa"/>
            <w:hideMark/>
          </w:tcPr>
          <w:p w14:paraId="2CF85CE4"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Groundwork UK</w:t>
            </w:r>
          </w:p>
        </w:tc>
      </w:tr>
      <w:tr w:rsidR="001977EE" w:rsidRPr="001977EE" w14:paraId="4E0714BF" w14:textId="77777777" w:rsidTr="009D55F7">
        <w:trPr>
          <w:trHeight w:val="264"/>
          <w:jc w:val="center"/>
        </w:trPr>
        <w:tc>
          <w:tcPr>
            <w:tcW w:w="8791" w:type="dxa"/>
            <w:hideMark/>
          </w:tcPr>
          <w:p w14:paraId="45183DC9"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Health Education England HEE)</w:t>
            </w:r>
          </w:p>
        </w:tc>
      </w:tr>
      <w:tr w:rsidR="001977EE" w:rsidRPr="001977EE" w14:paraId="0A6F2BBF" w14:textId="77777777" w:rsidTr="009D55F7">
        <w:trPr>
          <w:trHeight w:val="264"/>
          <w:jc w:val="center"/>
        </w:trPr>
        <w:tc>
          <w:tcPr>
            <w:tcW w:w="8791" w:type="dxa"/>
            <w:hideMark/>
          </w:tcPr>
          <w:p w14:paraId="00B3BD3B"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 xml:space="preserve">Her Majesty’s Inspectorate of Constabulary </w:t>
            </w:r>
          </w:p>
        </w:tc>
      </w:tr>
      <w:tr w:rsidR="001977EE" w:rsidRPr="001977EE" w14:paraId="7453493B" w14:textId="77777777" w:rsidTr="009D55F7">
        <w:trPr>
          <w:trHeight w:val="264"/>
          <w:jc w:val="center"/>
        </w:trPr>
        <w:tc>
          <w:tcPr>
            <w:tcW w:w="8791" w:type="dxa"/>
            <w:hideMark/>
          </w:tcPr>
          <w:p w14:paraId="65EDF169"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Her Majesty’s Passport Office</w:t>
            </w:r>
          </w:p>
        </w:tc>
      </w:tr>
      <w:tr w:rsidR="001977EE" w:rsidRPr="001977EE" w14:paraId="795BCA21" w14:textId="77777777" w:rsidTr="009D55F7">
        <w:trPr>
          <w:trHeight w:val="264"/>
          <w:jc w:val="center"/>
        </w:trPr>
        <w:tc>
          <w:tcPr>
            <w:tcW w:w="8791" w:type="dxa"/>
            <w:hideMark/>
          </w:tcPr>
          <w:p w14:paraId="3A2D5D29"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High Speed 2 Limited</w:t>
            </w:r>
          </w:p>
        </w:tc>
      </w:tr>
      <w:tr w:rsidR="001977EE" w:rsidRPr="001977EE" w14:paraId="5B6B6822" w14:textId="77777777" w:rsidTr="009D55F7">
        <w:trPr>
          <w:trHeight w:val="264"/>
          <w:jc w:val="center"/>
        </w:trPr>
        <w:tc>
          <w:tcPr>
            <w:tcW w:w="8791" w:type="dxa"/>
            <w:hideMark/>
          </w:tcPr>
          <w:p w14:paraId="516644D4"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lang w:eastAsia="en-US"/>
              </w:rPr>
              <w:t>Higher Education Funding Council for England (HEFCE)</w:t>
            </w:r>
          </w:p>
        </w:tc>
      </w:tr>
      <w:tr w:rsidR="001977EE" w:rsidRPr="001977EE" w14:paraId="47C6C2C5" w14:textId="77777777" w:rsidTr="009D55F7">
        <w:trPr>
          <w:trHeight w:val="264"/>
          <w:jc w:val="center"/>
        </w:trPr>
        <w:tc>
          <w:tcPr>
            <w:tcW w:w="8791" w:type="dxa"/>
            <w:hideMark/>
          </w:tcPr>
          <w:p w14:paraId="4286C881"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HM Crown Prosecution Service Inspectorate</w:t>
            </w:r>
          </w:p>
        </w:tc>
      </w:tr>
      <w:tr w:rsidR="001977EE" w:rsidRPr="001977EE" w14:paraId="1C97FD4A" w14:textId="77777777" w:rsidTr="009D55F7">
        <w:trPr>
          <w:trHeight w:val="264"/>
          <w:jc w:val="center"/>
        </w:trPr>
        <w:tc>
          <w:tcPr>
            <w:tcW w:w="8791" w:type="dxa"/>
            <w:hideMark/>
          </w:tcPr>
          <w:p w14:paraId="2F2AEB77"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 xml:space="preserve">HM Treasury UK Sovereign Suk </w:t>
            </w:r>
            <w:proofErr w:type="spellStart"/>
            <w:r w:rsidRPr="001977EE">
              <w:rPr>
                <w:rFonts w:ascii="Arial" w:eastAsia="Times New Roman" w:hAnsi="Arial" w:cs="Arial"/>
              </w:rPr>
              <w:t>uk</w:t>
            </w:r>
            <w:proofErr w:type="spellEnd"/>
            <w:r w:rsidRPr="001977EE">
              <w:rPr>
                <w:rFonts w:ascii="Arial" w:eastAsia="Times New Roman" w:hAnsi="Arial" w:cs="Arial"/>
              </w:rPr>
              <w:t xml:space="preserve"> plc</w:t>
            </w:r>
          </w:p>
        </w:tc>
      </w:tr>
      <w:tr w:rsidR="001977EE" w:rsidRPr="001977EE" w14:paraId="676C3B7F" w14:textId="77777777" w:rsidTr="009D55F7">
        <w:trPr>
          <w:trHeight w:val="264"/>
          <w:jc w:val="center"/>
        </w:trPr>
        <w:tc>
          <w:tcPr>
            <w:tcW w:w="8791" w:type="dxa"/>
            <w:hideMark/>
          </w:tcPr>
          <w:p w14:paraId="0DDCB72F"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Homes and Communities Agency</w:t>
            </w:r>
          </w:p>
        </w:tc>
      </w:tr>
      <w:tr w:rsidR="001977EE" w:rsidRPr="001977EE" w14:paraId="54A496BD" w14:textId="77777777" w:rsidTr="009D55F7">
        <w:trPr>
          <w:trHeight w:val="264"/>
          <w:jc w:val="center"/>
        </w:trPr>
        <w:tc>
          <w:tcPr>
            <w:tcW w:w="8791" w:type="dxa"/>
            <w:hideMark/>
          </w:tcPr>
          <w:p w14:paraId="3E336488"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Independent Chief Inspector</w:t>
            </w:r>
          </w:p>
        </w:tc>
      </w:tr>
      <w:tr w:rsidR="001977EE" w:rsidRPr="001977EE" w14:paraId="774CE567" w14:textId="77777777" w:rsidTr="009D55F7">
        <w:trPr>
          <w:trHeight w:val="264"/>
          <w:jc w:val="center"/>
        </w:trPr>
        <w:tc>
          <w:tcPr>
            <w:tcW w:w="8791" w:type="dxa"/>
            <w:hideMark/>
          </w:tcPr>
          <w:p w14:paraId="4937A8A0"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Independent Commission For Aid Impact (ICAI)</w:t>
            </w:r>
          </w:p>
        </w:tc>
      </w:tr>
      <w:tr w:rsidR="001977EE" w:rsidRPr="001977EE" w14:paraId="7683BB07" w14:textId="77777777" w:rsidTr="009D55F7">
        <w:trPr>
          <w:trHeight w:val="264"/>
          <w:jc w:val="center"/>
        </w:trPr>
        <w:tc>
          <w:tcPr>
            <w:tcW w:w="8791" w:type="dxa"/>
            <w:hideMark/>
          </w:tcPr>
          <w:p w14:paraId="5C09941B"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Independent Housing Ombudsman Limited</w:t>
            </w:r>
          </w:p>
        </w:tc>
      </w:tr>
      <w:tr w:rsidR="001977EE" w:rsidRPr="001977EE" w14:paraId="581E44FE" w14:textId="77777777" w:rsidTr="009D55F7">
        <w:trPr>
          <w:trHeight w:val="264"/>
          <w:jc w:val="center"/>
        </w:trPr>
        <w:tc>
          <w:tcPr>
            <w:tcW w:w="8791" w:type="dxa"/>
            <w:hideMark/>
          </w:tcPr>
          <w:p w14:paraId="36AAF8F9"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Independent Police Complaints Commission</w:t>
            </w:r>
          </w:p>
        </w:tc>
      </w:tr>
      <w:tr w:rsidR="001977EE" w:rsidRPr="001977EE" w14:paraId="51239A9C" w14:textId="77777777" w:rsidTr="009D55F7">
        <w:trPr>
          <w:trHeight w:val="264"/>
          <w:jc w:val="center"/>
        </w:trPr>
        <w:tc>
          <w:tcPr>
            <w:tcW w:w="8791" w:type="dxa"/>
            <w:hideMark/>
          </w:tcPr>
          <w:p w14:paraId="1C49AAA1"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Symbol" w:hAnsi="Arial" w:cs="Arial"/>
              </w:rPr>
              <w:t>Industrial Injuries Advisory Council</w:t>
            </w:r>
          </w:p>
        </w:tc>
      </w:tr>
      <w:tr w:rsidR="001977EE" w:rsidRPr="001977EE" w14:paraId="3BD34C07" w14:textId="77777777" w:rsidTr="009D55F7">
        <w:trPr>
          <w:trHeight w:val="264"/>
          <w:jc w:val="center"/>
        </w:trPr>
        <w:tc>
          <w:tcPr>
            <w:tcW w:w="8791" w:type="dxa"/>
            <w:hideMark/>
          </w:tcPr>
          <w:p w14:paraId="5DEF2E62"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Information Commissioner’s Office</w:t>
            </w:r>
          </w:p>
        </w:tc>
      </w:tr>
      <w:tr w:rsidR="001977EE" w:rsidRPr="001977EE" w14:paraId="2D0C473B" w14:textId="77777777" w:rsidTr="009D55F7">
        <w:trPr>
          <w:trHeight w:val="264"/>
          <w:jc w:val="center"/>
        </w:trPr>
        <w:tc>
          <w:tcPr>
            <w:tcW w:w="8791" w:type="dxa"/>
            <w:hideMark/>
          </w:tcPr>
          <w:p w14:paraId="34188DFF"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Intelligence Services Commissioners Office</w:t>
            </w:r>
          </w:p>
        </w:tc>
      </w:tr>
      <w:tr w:rsidR="001977EE" w:rsidRPr="001977EE" w14:paraId="0E7EE6F2" w14:textId="77777777" w:rsidTr="009D55F7">
        <w:trPr>
          <w:trHeight w:val="264"/>
          <w:jc w:val="center"/>
        </w:trPr>
        <w:tc>
          <w:tcPr>
            <w:tcW w:w="8791" w:type="dxa"/>
            <w:hideMark/>
          </w:tcPr>
          <w:p w14:paraId="4B1562DF"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Judicial Appointments and Conduct Ombudsman</w:t>
            </w:r>
          </w:p>
        </w:tc>
      </w:tr>
      <w:tr w:rsidR="001977EE" w:rsidRPr="001977EE" w14:paraId="6E53243A" w14:textId="77777777" w:rsidTr="009D55F7">
        <w:trPr>
          <w:trHeight w:val="264"/>
          <w:jc w:val="center"/>
        </w:trPr>
        <w:tc>
          <w:tcPr>
            <w:tcW w:w="8791" w:type="dxa"/>
            <w:hideMark/>
          </w:tcPr>
          <w:p w14:paraId="356E94E7"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Judicial Appointments Commission</w:t>
            </w:r>
          </w:p>
        </w:tc>
      </w:tr>
      <w:tr w:rsidR="001977EE" w:rsidRPr="001977EE" w14:paraId="05ACD088" w14:textId="77777777" w:rsidTr="009D55F7">
        <w:trPr>
          <w:trHeight w:val="264"/>
          <w:jc w:val="center"/>
        </w:trPr>
        <w:tc>
          <w:tcPr>
            <w:tcW w:w="8791" w:type="dxa"/>
            <w:hideMark/>
          </w:tcPr>
          <w:p w14:paraId="06A1BBC3"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Judicial Office</w:t>
            </w:r>
          </w:p>
        </w:tc>
      </w:tr>
      <w:tr w:rsidR="001977EE" w:rsidRPr="001977EE" w14:paraId="174AFC38" w14:textId="77777777" w:rsidTr="009D55F7">
        <w:trPr>
          <w:trHeight w:val="264"/>
          <w:jc w:val="center"/>
        </w:trPr>
        <w:tc>
          <w:tcPr>
            <w:tcW w:w="8791" w:type="dxa"/>
            <w:hideMark/>
          </w:tcPr>
          <w:p w14:paraId="51C896B8"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Law Officers</w:t>
            </w:r>
          </w:p>
        </w:tc>
      </w:tr>
      <w:tr w:rsidR="001977EE" w:rsidRPr="001977EE" w14:paraId="3ED7CDB1" w14:textId="77777777" w:rsidTr="009D55F7">
        <w:trPr>
          <w:trHeight w:val="264"/>
          <w:jc w:val="center"/>
        </w:trPr>
        <w:tc>
          <w:tcPr>
            <w:tcW w:w="8791" w:type="dxa"/>
            <w:hideMark/>
          </w:tcPr>
          <w:p w14:paraId="32BAAEFC"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Lease Conferences Limited</w:t>
            </w:r>
          </w:p>
        </w:tc>
      </w:tr>
      <w:tr w:rsidR="001977EE" w:rsidRPr="001977EE" w14:paraId="6D4F2CE9" w14:textId="77777777" w:rsidTr="009D55F7">
        <w:trPr>
          <w:trHeight w:val="264"/>
          <w:jc w:val="center"/>
        </w:trPr>
        <w:tc>
          <w:tcPr>
            <w:tcW w:w="8791" w:type="dxa"/>
            <w:hideMark/>
          </w:tcPr>
          <w:p w14:paraId="77FAD876"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Legal Services Board</w:t>
            </w:r>
          </w:p>
        </w:tc>
      </w:tr>
      <w:tr w:rsidR="001977EE" w:rsidRPr="001977EE" w14:paraId="32B7A76D" w14:textId="77777777" w:rsidTr="009D55F7">
        <w:trPr>
          <w:trHeight w:val="264"/>
          <w:jc w:val="center"/>
        </w:trPr>
        <w:tc>
          <w:tcPr>
            <w:tcW w:w="8791" w:type="dxa"/>
            <w:hideMark/>
          </w:tcPr>
          <w:p w14:paraId="117AE534"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Legal Services Ombudsman</w:t>
            </w:r>
          </w:p>
        </w:tc>
      </w:tr>
      <w:tr w:rsidR="001977EE" w:rsidRPr="001977EE" w14:paraId="487FCB45" w14:textId="77777777" w:rsidTr="009D55F7">
        <w:trPr>
          <w:trHeight w:val="264"/>
          <w:jc w:val="center"/>
        </w:trPr>
        <w:tc>
          <w:tcPr>
            <w:tcW w:w="8791" w:type="dxa"/>
            <w:hideMark/>
          </w:tcPr>
          <w:p w14:paraId="4A9EC887"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Local Ed Property Limited</w:t>
            </w:r>
          </w:p>
        </w:tc>
      </w:tr>
      <w:tr w:rsidR="001977EE" w:rsidRPr="001977EE" w14:paraId="1C001F54" w14:textId="77777777" w:rsidTr="009D55F7">
        <w:trPr>
          <w:trHeight w:val="264"/>
          <w:jc w:val="center"/>
        </w:trPr>
        <w:tc>
          <w:tcPr>
            <w:tcW w:w="8791" w:type="dxa"/>
            <w:hideMark/>
          </w:tcPr>
          <w:p w14:paraId="69A5E2F1"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Local Government Boundary Commission for England</w:t>
            </w:r>
          </w:p>
        </w:tc>
      </w:tr>
      <w:tr w:rsidR="001977EE" w:rsidRPr="001977EE" w14:paraId="6B7DF80D" w14:textId="77777777" w:rsidTr="009D55F7">
        <w:trPr>
          <w:trHeight w:val="264"/>
          <w:jc w:val="center"/>
        </w:trPr>
        <w:tc>
          <w:tcPr>
            <w:tcW w:w="8791" w:type="dxa"/>
            <w:hideMark/>
          </w:tcPr>
          <w:p w14:paraId="4BBEA2F2"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London Continental Railways Limited</w:t>
            </w:r>
          </w:p>
        </w:tc>
      </w:tr>
      <w:tr w:rsidR="001977EE" w:rsidRPr="001977EE" w14:paraId="12BE3820" w14:textId="77777777" w:rsidTr="009D55F7">
        <w:trPr>
          <w:trHeight w:val="264"/>
          <w:jc w:val="center"/>
        </w:trPr>
        <w:tc>
          <w:tcPr>
            <w:tcW w:w="8791" w:type="dxa"/>
            <w:hideMark/>
          </w:tcPr>
          <w:p w14:paraId="5AA1F844"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Low Carbon Contracts Company Electricity Settlements Company</w:t>
            </w:r>
          </w:p>
        </w:tc>
      </w:tr>
      <w:tr w:rsidR="001977EE" w:rsidRPr="001977EE" w14:paraId="788A6B85" w14:textId="77777777" w:rsidTr="009D55F7">
        <w:trPr>
          <w:trHeight w:val="264"/>
          <w:jc w:val="center"/>
        </w:trPr>
        <w:tc>
          <w:tcPr>
            <w:tcW w:w="8791" w:type="dxa"/>
            <w:hideMark/>
          </w:tcPr>
          <w:p w14:paraId="267BDAED"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lang w:eastAsia="en-US"/>
              </w:rPr>
              <w:t>Low Pay Commission</w:t>
            </w:r>
          </w:p>
        </w:tc>
      </w:tr>
      <w:tr w:rsidR="001977EE" w:rsidRPr="001977EE" w14:paraId="0146B974" w14:textId="77777777" w:rsidTr="009D55F7">
        <w:trPr>
          <w:trHeight w:val="264"/>
          <w:jc w:val="center"/>
        </w:trPr>
        <w:tc>
          <w:tcPr>
            <w:tcW w:w="8791" w:type="dxa"/>
            <w:hideMark/>
          </w:tcPr>
          <w:p w14:paraId="714BBAB6"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Marine Management Organisation</w:t>
            </w:r>
          </w:p>
        </w:tc>
      </w:tr>
      <w:tr w:rsidR="001977EE" w:rsidRPr="001977EE" w14:paraId="2A07642D" w14:textId="77777777" w:rsidTr="009D55F7">
        <w:trPr>
          <w:trHeight w:val="264"/>
          <w:jc w:val="center"/>
        </w:trPr>
        <w:tc>
          <w:tcPr>
            <w:tcW w:w="8791" w:type="dxa"/>
            <w:hideMark/>
          </w:tcPr>
          <w:p w14:paraId="114548D2"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lang w:eastAsia="en-US"/>
              </w:rPr>
              <w:t>Medical Research Council (MRC)</w:t>
            </w:r>
          </w:p>
        </w:tc>
      </w:tr>
      <w:tr w:rsidR="001977EE" w:rsidRPr="001977EE" w14:paraId="699ED7F7" w14:textId="77777777" w:rsidTr="009D55F7">
        <w:trPr>
          <w:trHeight w:val="264"/>
          <w:jc w:val="center"/>
        </w:trPr>
        <w:tc>
          <w:tcPr>
            <w:tcW w:w="8791" w:type="dxa"/>
            <w:hideMark/>
          </w:tcPr>
          <w:p w14:paraId="789AE70D"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 xml:space="preserve">Migration Advisory Committee </w:t>
            </w:r>
          </w:p>
        </w:tc>
      </w:tr>
      <w:tr w:rsidR="001977EE" w:rsidRPr="001977EE" w14:paraId="035F5296" w14:textId="77777777" w:rsidTr="009D55F7">
        <w:trPr>
          <w:trHeight w:val="264"/>
          <w:jc w:val="center"/>
        </w:trPr>
        <w:tc>
          <w:tcPr>
            <w:tcW w:w="8791" w:type="dxa"/>
            <w:hideMark/>
          </w:tcPr>
          <w:p w14:paraId="0DD01917"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 xml:space="preserve">Monitor </w:t>
            </w:r>
          </w:p>
        </w:tc>
      </w:tr>
      <w:tr w:rsidR="001977EE" w:rsidRPr="001977EE" w14:paraId="65251E73" w14:textId="77777777" w:rsidTr="009D55F7">
        <w:trPr>
          <w:trHeight w:val="288"/>
          <w:jc w:val="center"/>
        </w:trPr>
        <w:tc>
          <w:tcPr>
            <w:tcW w:w="8791" w:type="dxa"/>
            <w:hideMark/>
          </w:tcPr>
          <w:p w14:paraId="7AF0060D"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National Employment Savings Trust (</w:t>
            </w:r>
            <w:r w:rsidRPr="001977EE">
              <w:rPr>
                <w:rFonts w:ascii="Arial" w:eastAsia="Times New Roman" w:hAnsi="Arial" w:cs="Arial"/>
                <w:i/>
                <w:iCs/>
              </w:rPr>
              <w:t>NEST</w:t>
            </w:r>
            <w:r w:rsidRPr="001977EE">
              <w:rPr>
                <w:rFonts w:ascii="Arial" w:eastAsia="Times New Roman" w:hAnsi="Arial" w:cs="Arial"/>
              </w:rPr>
              <w:t>)</w:t>
            </w:r>
          </w:p>
        </w:tc>
      </w:tr>
      <w:tr w:rsidR="001977EE" w:rsidRPr="001977EE" w14:paraId="240F794F" w14:textId="77777777" w:rsidTr="009D55F7">
        <w:trPr>
          <w:trHeight w:val="264"/>
          <w:jc w:val="center"/>
        </w:trPr>
        <w:tc>
          <w:tcPr>
            <w:tcW w:w="8791" w:type="dxa"/>
            <w:hideMark/>
          </w:tcPr>
          <w:p w14:paraId="5C0E1A30"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National Health Service Trust Development Authority</w:t>
            </w:r>
          </w:p>
        </w:tc>
      </w:tr>
      <w:tr w:rsidR="001977EE" w:rsidRPr="001977EE" w14:paraId="1BE0686B" w14:textId="77777777" w:rsidTr="009D55F7">
        <w:trPr>
          <w:trHeight w:val="264"/>
          <w:jc w:val="center"/>
        </w:trPr>
        <w:tc>
          <w:tcPr>
            <w:tcW w:w="8791" w:type="dxa"/>
            <w:hideMark/>
          </w:tcPr>
          <w:p w14:paraId="00AD8553"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National Savings &amp; Investments</w:t>
            </w:r>
          </w:p>
        </w:tc>
      </w:tr>
      <w:tr w:rsidR="001977EE" w:rsidRPr="001977EE" w14:paraId="61749B9B" w14:textId="77777777" w:rsidTr="009D55F7">
        <w:trPr>
          <w:trHeight w:val="264"/>
          <w:jc w:val="center"/>
        </w:trPr>
        <w:tc>
          <w:tcPr>
            <w:tcW w:w="8791" w:type="dxa"/>
            <w:hideMark/>
          </w:tcPr>
          <w:p w14:paraId="0B128B3F"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lastRenderedPageBreak/>
              <w:t>Natural England</w:t>
            </w:r>
          </w:p>
        </w:tc>
      </w:tr>
      <w:tr w:rsidR="001977EE" w:rsidRPr="001977EE" w14:paraId="14EFAA40" w14:textId="77777777" w:rsidTr="009D55F7">
        <w:trPr>
          <w:trHeight w:val="264"/>
          <w:jc w:val="center"/>
        </w:trPr>
        <w:tc>
          <w:tcPr>
            <w:tcW w:w="8791" w:type="dxa"/>
            <w:hideMark/>
          </w:tcPr>
          <w:p w14:paraId="518275D7"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lang w:eastAsia="en-US"/>
              </w:rPr>
              <w:t>Natural Environment Research Council (NERC)</w:t>
            </w:r>
          </w:p>
        </w:tc>
      </w:tr>
      <w:tr w:rsidR="001977EE" w:rsidRPr="001977EE" w14:paraId="79843AE0" w14:textId="77777777" w:rsidTr="009D55F7">
        <w:trPr>
          <w:trHeight w:val="264"/>
          <w:jc w:val="center"/>
        </w:trPr>
        <w:tc>
          <w:tcPr>
            <w:tcW w:w="8791" w:type="dxa"/>
            <w:hideMark/>
          </w:tcPr>
          <w:p w14:paraId="4963175E"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NHS Blood and Transplant</w:t>
            </w:r>
          </w:p>
        </w:tc>
      </w:tr>
      <w:tr w:rsidR="001977EE" w:rsidRPr="001977EE" w14:paraId="30B0481A" w14:textId="77777777" w:rsidTr="009D55F7">
        <w:trPr>
          <w:trHeight w:val="264"/>
          <w:jc w:val="center"/>
        </w:trPr>
        <w:tc>
          <w:tcPr>
            <w:tcW w:w="8791" w:type="dxa"/>
            <w:hideMark/>
          </w:tcPr>
          <w:p w14:paraId="60D39963"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NHS Business Services Authority</w:t>
            </w:r>
          </w:p>
        </w:tc>
      </w:tr>
      <w:tr w:rsidR="001977EE" w:rsidRPr="001977EE" w14:paraId="02D2DBCF" w14:textId="77777777" w:rsidTr="009D55F7">
        <w:trPr>
          <w:trHeight w:val="264"/>
          <w:jc w:val="center"/>
        </w:trPr>
        <w:tc>
          <w:tcPr>
            <w:tcW w:w="8791" w:type="dxa"/>
            <w:hideMark/>
          </w:tcPr>
          <w:p w14:paraId="75CADED1"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NHS Digital (HSCIC)</w:t>
            </w:r>
          </w:p>
        </w:tc>
      </w:tr>
      <w:tr w:rsidR="001977EE" w:rsidRPr="001977EE" w14:paraId="405340FD" w14:textId="77777777" w:rsidTr="009D55F7">
        <w:trPr>
          <w:trHeight w:val="264"/>
          <w:jc w:val="center"/>
        </w:trPr>
        <w:tc>
          <w:tcPr>
            <w:tcW w:w="8791" w:type="dxa"/>
            <w:hideMark/>
          </w:tcPr>
          <w:p w14:paraId="6E474C9E"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NHS England,</w:t>
            </w:r>
          </w:p>
        </w:tc>
      </w:tr>
      <w:tr w:rsidR="001977EE" w:rsidRPr="001977EE" w14:paraId="3A49CF88" w14:textId="77777777" w:rsidTr="009D55F7">
        <w:trPr>
          <w:trHeight w:val="264"/>
          <w:jc w:val="center"/>
        </w:trPr>
        <w:tc>
          <w:tcPr>
            <w:tcW w:w="8791" w:type="dxa"/>
            <w:hideMark/>
          </w:tcPr>
          <w:p w14:paraId="54F0F091"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Nuclear Decommissioning Agency</w:t>
            </w:r>
          </w:p>
        </w:tc>
      </w:tr>
      <w:tr w:rsidR="001977EE" w:rsidRPr="001977EE" w14:paraId="14C01A72" w14:textId="77777777" w:rsidTr="009D55F7">
        <w:trPr>
          <w:trHeight w:val="264"/>
          <w:jc w:val="center"/>
        </w:trPr>
        <w:tc>
          <w:tcPr>
            <w:tcW w:w="8791" w:type="dxa"/>
            <w:hideMark/>
          </w:tcPr>
          <w:p w14:paraId="3CAB5A9D"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Nuclear Decommissioning  Authority Archives Limited</w:t>
            </w:r>
          </w:p>
        </w:tc>
      </w:tr>
      <w:tr w:rsidR="001977EE" w:rsidRPr="001977EE" w14:paraId="657A85B4" w14:textId="77777777" w:rsidTr="009D55F7">
        <w:trPr>
          <w:trHeight w:val="264"/>
          <w:jc w:val="center"/>
        </w:trPr>
        <w:tc>
          <w:tcPr>
            <w:tcW w:w="8791" w:type="dxa"/>
            <w:hideMark/>
          </w:tcPr>
          <w:p w14:paraId="28C33FFD"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lang w:eastAsia="en-US"/>
              </w:rPr>
              <w:t>Office for Fair Access</w:t>
            </w:r>
          </w:p>
        </w:tc>
      </w:tr>
      <w:tr w:rsidR="001977EE" w:rsidRPr="001977EE" w14:paraId="4230CFD7" w14:textId="77777777" w:rsidTr="009D55F7">
        <w:trPr>
          <w:trHeight w:val="264"/>
          <w:jc w:val="center"/>
        </w:trPr>
        <w:tc>
          <w:tcPr>
            <w:tcW w:w="8791" w:type="dxa"/>
            <w:hideMark/>
          </w:tcPr>
          <w:p w14:paraId="28683E75"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Office for Nuclear Regulation</w:t>
            </w:r>
          </w:p>
        </w:tc>
      </w:tr>
      <w:tr w:rsidR="001977EE" w:rsidRPr="001977EE" w14:paraId="1F7AAFB9" w14:textId="77777777" w:rsidTr="009D55F7">
        <w:trPr>
          <w:trHeight w:val="264"/>
          <w:jc w:val="center"/>
        </w:trPr>
        <w:tc>
          <w:tcPr>
            <w:tcW w:w="8791" w:type="dxa"/>
            <w:hideMark/>
          </w:tcPr>
          <w:p w14:paraId="65A253EE"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Office for the Commissioner of Public Appointments</w:t>
            </w:r>
          </w:p>
        </w:tc>
      </w:tr>
      <w:tr w:rsidR="001977EE" w:rsidRPr="001977EE" w14:paraId="574A4CE1" w14:textId="77777777" w:rsidTr="009D55F7">
        <w:trPr>
          <w:trHeight w:val="264"/>
          <w:jc w:val="center"/>
        </w:trPr>
        <w:tc>
          <w:tcPr>
            <w:tcW w:w="8791" w:type="dxa"/>
            <w:hideMark/>
          </w:tcPr>
          <w:p w14:paraId="40B41304"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Office of the Immigration Services Commissioner</w:t>
            </w:r>
          </w:p>
        </w:tc>
      </w:tr>
      <w:tr w:rsidR="001977EE" w:rsidRPr="001977EE" w14:paraId="7D97C654" w14:textId="77777777" w:rsidTr="009D55F7">
        <w:trPr>
          <w:trHeight w:val="264"/>
          <w:jc w:val="center"/>
        </w:trPr>
        <w:tc>
          <w:tcPr>
            <w:tcW w:w="8791" w:type="dxa"/>
            <w:hideMark/>
          </w:tcPr>
          <w:p w14:paraId="58743811"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Official Solicitor and Public Trustee</w:t>
            </w:r>
          </w:p>
        </w:tc>
      </w:tr>
      <w:tr w:rsidR="001977EE" w:rsidRPr="001977EE" w14:paraId="22C59BF5" w14:textId="77777777" w:rsidTr="009D55F7">
        <w:trPr>
          <w:trHeight w:val="264"/>
          <w:jc w:val="center"/>
        </w:trPr>
        <w:tc>
          <w:tcPr>
            <w:tcW w:w="8791" w:type="dxa"/>
            <w:hideMark/>
          </w:tcPr>
          <w:p w14:paraId="42A082C5"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Parole Board</w:t>
            </w:r>
          </w:p>
        </w:tc>
      </w:tr>
      <w:tr w:rsidR="001977EE" w:rsidRPr="001977EE" w14:paraId="272DD7D1" w14:textId="77777777" w:rsidTr="009D55F7">
        <w:trPr>
          <w:trHeight w:val="264"/>
          <w:jc w:val="center"/>
        </w:trPr>
        <w:tc>
          <w:tcPr>
            <w:tcW w:w="8791" w:type="dxa"/>
            <w:hideMark/>
          </w:tcPr>
          <w:p w14:paraId="11FCB80F"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Pension Protection Fund</w:t>
            </w:r>
          </w:p>
        </w:tc>
      </w:tr>
      <w:tr w:rsidR="001977EE" w:rsidRPr="001977EE" w14:paraId="06BBFF27" w14:textId="77777777" w:rsidTr="009D55F7">
        <w:trPr>
          <w:trHeight w:val="264"/>
          <w:jc w:val="center"/>
        </w:trPr>
        <w:tc>
          <w:tcPr>
            <w:tcW w:w="8791" w:type="dxa"/>
            <w:hideMark/>
          </w:tcPr>
          <w:p w14:paraId="24BD2187"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Symbol" w:hAnsi="Arial" w:cs="Arial"/>
              </w:rPr>
              <w:t>Pensions Advisory Service</w:t>
            </w:r>
          </w:p>
        </w:tc>
      </w:tr>
      <w:tr w:rsidR="001977EE" w:rsidRPr="001977EE" w14:paraId="098D08A8" w14:textId="77777777" w:rsidTr="009D55F7">
        <w:trPr>
          <w:trHeight w:val="264"/>
          <w:jc w:val="center"/>
        </w:trPr>
        <w:tc>
          <w:tcPr>
            <w:tcW w:w="8791" w:type="dxa"/>
            <w:hideMark/>
          </w:tcPr>
          <w:p w14:paraId="75383D1A"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Symbol" w:hAnsi="Arial" w:cs="Arial"/>
              </w:rPr>
              <w:t>Pensions Ombudsman</w:t>
            </w:r>
          </w:p>
        </w:tc>
      </w:tr>
      <w:tr w:rsidR="001977EE" w:rsidRPr="001977EE" w14:paraId="2F4163D4" w14:textId="77777777" w:rsidTr="009D55F7">
        <w:trPr>
          <w:trHeight w:val="264"/>
          <w:jc w:val="center"/>
        </w:trPr>
        <w:tc>
          <w:tcPr>
            <w:tcW w:w="8791" w:type="dxa"/>
            <w:hideMark/>
          </w:tcPr>
          <w:p w14:paraId="0291D267"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Symbol" w:hAnsi="Arial" w:cs="Arial"/>
              </w:rPr>
              <w:t>Pensions Regulator</w:t>
            </w:r>
          </w:p>
        </w:tc>
      </w:tr>
      <w:tr w:rsidR="001977EE" w:rsidRPr="001977EE" w14:paraId="562B27E8" w14:textId="77777777" w:rsidTr="009D55F7">
        <w:trPr>
          <w:trHeight w:val="264"/>
          <w:jc w:val="center"/>
        </w:trPr>
        <w:tc>
          <w:tcPr>
            <w:tcW w:w="8791" w:type="dxa"/>
            <w:hideMark/>
          </w:tcPr>
          <w:p w14:paraId="7A9F8E83"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Planning Inspectorate</w:t>
            </w:r>
          </w:p>
        </w:tc>
      </w:tr>
      <w:tr w:rsidR="001977EE" w:rsidRPr="001977EE" w14:paraId="2B1C6950" w14:textId="77777777" w:rsidTr="009D55F7">
        <w:trPr>
          <w:trHeight w:val="264"/>
          <w:jc w:val="center"/>
        </w:trPr>
        <w:tc>
          <w:tcPr>
            <w:tcW w:w="8791" w:type="dxa"/>
            <w:hideMark/>
          </w:tcPr>
          <w:p w14:paraId="50A6D3E9"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Rail Accident Investigation Branch</w:t>
            </w:r>
          </w:p>
        </w:tc>
      </w:tr>
      <w:tr w:rsidR="001977EE" w:rsidRPr="001977EE" w14:paraId="4A097E67" w14:textId="77777777" w:rsidTr="009D55F7">
        <w:trPr>
          <w:trHeight w:val="264"/>
          <w:jc w:val="center"/>
        </w:trPr>
        <w:tc>
          <w:tcPr>
            <w:tcW w:w="8791" w:type="dxa"/>
            <w:hideMark/>
          </w:tcPr>
          <w:p w14:paraId="7C00E977"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lang w:eastAsia="en-US"/>
              </w:rPr>
              <w:t>Research Council UK Shared Services Centre Limited</w:t>
            </w:r>
          </w:p>
        </w:tc>
      </w:tr>
      <w:tr w:rsidR="001977EE" w:rsidRPr="001977EE" w14:paraId="4F0E8D3B" w14:textId="77777777" w:rsidTr="009D55F7">
        <w:trPr>
          <w:trHeight w:val="264"/>
          <w:jc w:val="center"/>
        </w:trPr>
        <w:tc>
          <w:tcPr>
            <w:tcW w:w="8791" w:type="dxa"/>
            <w:hideMark/>
          </w:tcPr>
          <w:p w14:paraId="69431F24"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Research Councils (</w:t>
            </w:r>
            <w:proofErr w:type="spellStart"/>
            <w:r w:rsidRPr="001977EE">
              <w:rPr>
                <w:rFonts w:ascii="Arial" w:eastAsia="Times New Roman" w:hAnsi="Arial" w:cs="Arial"/>
              </w:rPr>
              <w:t>En</w:t>
            </w:r>
            <w:proofErr w:type="spellEnd"/>
            <w:r w:rsidRPr="001977EE">
              <w:rPr>
                <w:rFonts w:ascii="Arial" w:eastAsia="Times New Roman" w:hAnsi="Arial" w:cs="Arial"/>
              </w:rPr>
              <w:t xml:space="preserve"> Bloc) </w:t>
            </w:r>
          </w:p>
        </w:tc>
      </w:tr>
      <w:tr w:rsidR="001977EE" w:rsidRPr="001977EE" w14:paraId="2F0082E1" w14:textId="77777777" w:rsidTr="009D55F7">
        <w:trPr>
          <w:trHeight w:val="264"/>
          <w:jc w:val="center"/>
        </w:trPr>
        <w:tc>
          <w:tcPr>
            <w:tcW w:w="8791" w:type="dxa"/>
            <w:hideMark/>
          </w:tcPr>
          <w:p w14:paraId="7C4CF283"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 xml:space="preserve">Revenue and Customs Digital Technology Services </w:t>
            </w:r>
          </w:p>
        </w:tc>
      </w:tr>
      <w:tr w:rsidR="001977EE" w:rsidRPr="001977EE" w14:paraId="2530F546" w14:textId="77777777" w:rsidTr="009D55F7">
        <w:trPr>
          <w:trHeight w:val="264"/>
          <w:jc w:val="center"/>
        </w:trPr>
        <w:tc>
          <w:tcPr>
            <w:tcW w:w="8791" w:type="dxa"/>
            <w:hideMark/>
          </w:tcPr>
          <w:p w14:paraId="41A9ABCF"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lang w:eastAsia="en-US"/>
              </w:rPr>
              <w:t>Science and Technology Facilities Council Innovations Limited</w:t>
            </w:r>
          </w:p>
        </w:tc>
      </w:tr>
      <w:tr w:rsidR="001977EE" w:rsidRPr="001977EE" w14:paraId="0A20FF85" w14:textId="77777777" w:rsidTr="009D55F7">
        <w:trPr>
          <w:trHeight w:val="264"/>
          <w:jc w:val="center"/>
        </w:trPr>
        <w:tc>
          <w:tcPr>
            <w:tcW w:w="8791" w:type="dxa"/>
            <w:hideMark/>
          </w:tcPr>
          <w:p w14:paraId="623E466F" w14:textId="1C5F7189" w:rsidR="00DF64FA" w:rsidRPr="001977EE" w:rsidRDefault="00DF64FA" w:rsidP="008C7534">
            <w:pPr>
              <w:spacing w:after="0" w:line="240" w:lineRule="auto"/>
              <w:ind w:right="459" w:firstLineChars="100" w:firstLine="220"/>
              <w:rPr>
                <w:rFonts w:ascii="Arial" w:eastAsia="Times New Roman" w:hAnsi="Arial" w:cs="Arial"/>
              </w:rPr>
            </w:pPr>
            <w:r w:rsidRPr="001977EE">
              <w:rPr>
                <w:rFonts w:ascii="Arial" w:eastAsia="Times New Roman" w:hAnsi="Arial" w:cs="Arial"/>
              </w:rPr>
              <w:t xml:space="preserve">Security and Intelligence Services </w:t>
            </w:r>
          </w:p>
        </w:tc>
      </w:tr>
      <w:tr w:rsidR="001977EE" w:rsidRPr="001977EE" w14:paraId="62474CB0" w14:textId="77777777" w:rsidTr="009D55F7">
        <w:trPr>
          <w:trHeight w:val="264"/>
          <w:jc w:val="center"/>
        </w:trPr>
        <w:tc>
          <w:tcPr>
            <w:tcW w:w="8791" w:type="dxa"/>
            <w:hideMark/>
          </w:tcPr>
          <w:p w14:paraId="2EF75A13"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Security Industry Authority</w:t>
            </w:r>
          </w:p>
        </w:tc>
      </w:tr>
      <w:tr w:rsidR="001977EE" w:rsidRPr="001977EE" w14:paraId="4EBA2526" w14:textId="77777777" w:rsidTr="009D55F7">
        <w:trPr>
          <w:trHeight w:val="264"/>
          <w:jc w:val="center"/>
        </w:trPr>
        <w:tc>
          <w:tcPr>
            <w:tcW w:w="8791" w:type="dxa"/>
            <w:hideMark/>
          </w:tcPr>
          <w:p w14:paraId="6455E835"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Shared Services Connected Limited</w:t>
            </w:r>
          </w:p>
        </w:tc>
      </w:tr>
      <w:tr w:rsidR="001977EE" w:rsidRPr="001977EE" w14:paraId="0D37F25F" w14:textId="77777777" w:rsidTr="009D55F7">
        <w:trPr>
          <w:trHeight w:val="264"/>
          <w:jc w:val="center"/>
        </w:trPr>
        <w:tc>
          <w:tcPr>
            <w:tcW w:w="8791" w:type="dxa"/>
            <w:hideMark/>
          </w:tcPr>
          <w:p w14:paraId="56301239"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Symbol" w:hAnsi="Arial" w:cs="Arial"/>
              </w:rPr>
              <w:t>Social Security Advisory Committee</w:t>
            </w:r>
          </w:p>
        </w:tc>
      </w:tr>
      <w:tr w:rsidR="001977EE" w:rsidRPr="001977EE" w14:paraId="30574D39" w14:textId="77777777" w:rsidTr="009D55F7">
        <w:trPr>
          <w:trHeight w:val="264"/>
          <w:jc w:val="center"/>
        </w:trPr>
        <w:tc>
          <w:tcPr>
            <w:tcW w:w="8791" w:type="dxa"/>
            <w:hideMark/>
          </w:tcPr>
          <w:p w14:paraId="3659DBF0"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lang w:eastAsia="en-US"/>
              </w:rPr>
              <w:t>Student Loans Company</w:t>
            </w:r>
          </w:p>
        </w:tc>
      </w:tr>
      <w:tr w:rsidR="001977EE" w:rsidRPr="001977EE" w14:paraId="75834ACF" w14:textId="77777777" w:rsidTr="009D55F7">
        <w:trPr>
          <w:trHeight w:val="264"/>
          <w:jc w:val="center"/>
        </w:trPr>
        <w:tc>
          <w:tcPr>
            <w:tcW w:w="8791" w:type="dxa"/>
            <w:hideMark/>
          </w:tcPr>
          <w:p w14:paraId="203A3EAE"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The Chief Inspector of the UK Border Agency</w:t>
            </w:r>
          </w:p>
        </w:tc>
      </w:tr>
      <w:tr w:rsidR="001977EE" w:rsidRPr="001977EE" w14:paraId="6BF95BDE" w14:textId="77777777" w:rsidTr="009D55F7">
        <w:trPr>
          <w:trHeight w:val="264"/>
          <w:jc w:val="center"/>
        </w:trPr>
        <w:tc>
          <w:tcPr>
            <w:tcW w:w="8791" w:type="dxa"/>
            <w:hideMark/>
          </w:tcPr>
          <w:p w14:paraId="48D9F0D8"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The Children and Family Court Advisory and Support Service</w:t>
            </w:r>
          </w:p>
        </w:tc>
      </w:tr>
      <w:tr w:rsidR="001977EE" w:rsidRPr="001977EE" w14:paraId="1AF21C0E" w14:textId="77777777" w:rsidTr="009D55F7">
        <w:trPr>
          <w:trHeight w:val="264"/>
          <w:jc w:val="center"/>
        </w:trPr>
        <w:tc>
          <w:tcPr>
            <w:tcW w:w="8791" w:type="dxa"/>
            <w:hideMark/>
          </w:tcPr>
          <w:p w14:paraId="584645D7"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The Committee for the Protection of Animals Used for Scientific Purposes</w:t>
            </w:r>
          </w:p>
        </w:tc>
      </w:tr>
      <w:tr w:rsidR="001977EE" w:rsidRPr="001977EE" w14:paraId="6CFE98F0" w14:textId="77777777" w:rsidTr="009D55F7">
        <w:trPr>
          <w:trHeight w:val="264"/>
          <w:jc w:val="center"/>
        </w:trPr>
        <w:tc>
          <w:tcPr>
            <w:tcW w:w="8791" w:type="dxa"/>
            <w:hideMark/>
          </w:tcPr>
          <w:p w14:paraId="552AFB7C"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The Crime Concern, Marks and Spencer, Groundwork Partnership (t/a Youth Works)</w:t>
            </w:r>
          </w:p>
        </w:tc>
      </w:tr>
      <w:tr w:rsidR="001977EE" w:rsidRPr="001977EE" w14:paraId="3184CE52" w14:textId="77777777" w:rsidTr="009D55F7">
        <w:trPr>
          <w:trHeight w:val="264"/>
          <w:jc w:val="center"/>
        </w:trPr>
        <w:tc>
          <w:tcPr>
            <w:tcW w:w="8791" w:type="dxa"/>
            <w:hideMark/>
          </w:tcPr>
          <w:p w14:paraId="7E3E27AB"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The Leasehold Advisory Service</w:t>
            </w:r>
          </w:p>
        </w:tc>
      </w:tr>
      <w:tr w:rsidR="001977EE" w:rsidRPr="001977EE" w14:paraId="4E24E38A" w14:textId="77777777" w:rsidTr="009D55F7">
        <w:trPr>
          <w:trHeight w:val="264"/>
          <w:jc w:val="center"/>
        </w:trPr>
        <w:tc>
          <w:tcPr>
            <w:tcW w:w="8791" w:type="dxa"/>
            <w:hideMark/>
          </w:tcPr>
          <w:p w14:paraId="4EEBFBBA"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The National Archive</w:t>
            </w:r>
          </w:p>
        </w:tc>
      </w:tr>
      <w:tr w:rsidR="001977EE" w:rsidRPr="001977EE" w14:paraId="63DAA96C" w14:textId="77777777" w:rsidTr="009D55F7">
        <w:trPr>
          <w:trHeight w:val="264"/>
          <w:jc w:val="center"/>
        </w:trPr>
        <w:tc>
          <w:tcPr>
            <w:tcW w:w="8791" w:type="dxa"/>
            <w:hideMark/>
          </w:tcPr>
          <w:p w14:paraId="7839FE38"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UK Asset Resolutions</w:t>
            </w:r>
          </w:p>
        </w:tc>
      </w:tr>
      <w:tr w:rsidR="001977EE" w:rsidRPr="001977EE" w14:paraId="30C19C70" w14:textId="77777777" w:rsidTr="009D55F7">
        <w:trPr>
          <w:trHeight w:val="264"/>
          <w:jc w:val="center"/>
        </w:trPr>
        <w:tc>
          <w:tcPr>
            <w:tcW w:w="8791" w:type="dxa"/>
            <w:hideMark/>
          </w:tcPr>
          <w:p w14:paraId="56A27078"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lang w:eastAsia="en-US"/>
              </w:rPr>
              <w:t>UK Atomic Energy Authority</w:t>
            </w:r>
          </w:p>
        </w:tc>
      </w:tr>
      <w:tr w:rsidR="001977EE" w:rsidRPr="001977EE" w14:paraId="748B4075" w14:textId="77777777" w:rsidTr="009D55F7">
        <w:trPr>
          <w:trHeight w:val="264"/>
          <w:jc w:val="center"/>
        </w:trPr>
        <w:tc>
          <w:tcPr>
            <w:tcW w:w="8791" w:type="dxa"/>
            <w:hideMark/>
          </w:tcPr>
          <w:p w14:paraId="0E9B3D4C"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lang w:eastAsia="en-US"/>
              </w:rPr>
              <w:t xml:space="preserve">UK Commission for Employment and Skills </w:t>
            </w:r>
          </w:p>
        </w:tc>
      </w:tr>
      <w:tr w:rsidR="001977EE" w:rsidRPr="001977EE" w14:paraId="0B442DAE" w14:textId="77777777" w:rsidTr="009D55F7">
        <w:trPr>
          <w:trHeight w:val="264"/>
          <w:jc w:val="center"/>
        </w:trPr>
        <w:tc>
          <w:tcPr>
            <w:tcW w:w="8791" w:type="dxa"/>
            <w:hideMark/>
          </w:tcPr>
          <w:p w14:paraId="1D34BD05"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UK Financial Investments Limited (UKFI)</w:t>
            </w:r>
          </w:p>
        </w:tc>
      </w:tr>
      <w:tr w:rsidR="001977EE" w:rsidRPr="001977EE" w14:paraId="79F71964" w14:textId="77777777" w:rsidTr="009D55F7">
        <w:trPr>
          <w:trHeight w:val="264"/>
          <w:jc w:val="center"/>
        </w:trPr>
        <w:tc>
          <w:tcPr>
            <w:tcW w:w="8791" w:type="dxa"/>
            <w:hideMark/>
          </w:tcPr>
          <w:p w14:paraId="51991CEA"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UK Government Investments Financing plc</w:t>
            </w:r>
          </w:p>
        </w:tc>
      </w:tr>
      <w:tr w:rsidR="001977EE" w:rsidRPr="001977EE" w14:paraId="72F4C288" w14:textId="77777777" w:rsidTr="009D55F7">
        <w:trPr>
          <w:trHeight w:val="264"/>
          <w:jc w:val="center"/>
        </w:trPr>
        <w:tc>
          <w:tcPr>
            <w:tcW w:w="8791" w:type="dxa"/>
            <w:hideMark/>
          </w:tcPr>
          <w:p w14:paraId="1796101C"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Urban Development Corporations</w:t>
            </w:r>
          </w:p>
        </w:tc>
      </w:tr>
      <w:tr w:rsidR="001977EE" w:rsidRPr="001977EE" w14:paraId="1E3BDF8E" w14:textId="77777777" w:rsidTr="009D55F7">
        <w:trPr>
          <w:trHeight w:val="264"/>
          <w:jc w:val="center"/>
        </w:trPr>
        <w:tc>
          <w:tcPr>
            <w:tcW w:w="8791" w:type="dxa"/>
            <w:hideMark/>
          </w:tcPr>
          <w:p w14:paraId="32D7DCBC"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Valuation Office Agency</w:t>
            </w:r>
          </w:p>
        </w:tc>
      </w:tr>
      <w:tr w:rsidR="00DF64FA" w:rsidRPr="001977EE" w14:paraId="578FEC78" w14:textId="77777777" w:rsidTr="009D55F7">
        <w:trPr>
          <w:trHeight w:val="264"/>
          <w:jc w:val="center"/>
        </w:trPr>
        <w:tc>
          <w:tcPr>
            <w:tcW w:w="8791" w:type="dxa"/>
            <w:hideMark/>
          </w:tcPr>
          <w:p w14:paraId="79FC1A75" w14:textId="77777777" w:rsidR="00DF64FA" w:rsidRPr="001977EE" w:rsidRDefault="00DF64FA" w:rsidP="00AD2426">
            <w:pPr>
              <w:spacing w:after="0" w:line="240" w:lineRule="auto"/>
              <w:ind w:right="459" w:firstLineChars="100" w:firstLine="220"/>
              <w:rPr>
                <w:rFonts w:ascii="Arial" w:eastAsia="Times New Roman" w:hAnsi="Arial" w:cs="Arial"/>
              </w:rPr>
            </w:pPr>
            <w:r w:rsidRPr="001977EE">
              <w:rPr>
                <w:rFonts w:ascii="Arial" w:eastAsia="Times New Roman" w:hAnsi="Arial" w:cs="Arial"/>
              </w:rPr>
              <w:t>Youth Justice Board for England and Wales</w:t>
            </w:r>
          </w:p>
        </w:tc>
      </w:tr>
    </w:tbl>
    <w:p w14:paraId="6700B9A5" w14:textId="77777777" w:rsidR="00C21D3C" w:rsidRPr="001977EE" w:rsidRDefault="00C21D3C" w:rsidP="00AD2426">
      <w:pPr>
        <w:rPr>
          <w:rFonts w:eastAsia="Calibri"/>
          <w:b/>
        </w:rPr>
      </w:pPr>
    </w:p>
    <w:p w14:paraId="21DEE1F5" w14:textId="77777777" w:rsidR="00C21D3C" w:rsidRPr="001977EE" w:rsidRDefault="00C21D3C" w:rsidP="0039119F">
      <w:pPr>
        <w:jc w:val="center"/>
        <w:rPr>
          <w:rFonts w:ascii="Arial" w:eastAsia="Calibri" w:hAnsi="Arial" w:cs="Arial"/>
          <w:b/>
        </w:rPr>
      </w:pPr>
    </w:p>
    <w:p w14:paraId="57EA6AB7" w14:textId="77777777" w:rsidR="00D728B2" w:rsidRPr="001977EE" w:rsidRDefault="00D728B2" w:rsidP="0039119F">
      <w:pPr>
        <w:jc w:val="center"/>
        <w:rPr>
          <w:rFonts w:ascii="Arial" w:eastAsia="Calibri" w:hAnsi="Arial" w:cs="Arial"/>
          <w:b/>
        </w:rPr>
      </w:pPr>
    </w:p>
    <w:p w14:paraId="7BC1EEF3" w14:textId="306F654F" w:rsidR="00B62489" w:rsidRPr="001977EE" w:rsidRDefault="00B62489" w:rsidP="0039119F">
      <w:pPr>
        <w:jc w:val="center"/>
        <w:rPr>
          <w:rFonts w:ascii="Arial" w:eastAsia="Calibri" w:hAnsi="Arial" w:cs="Arial"/>
          <w:b/>
        </w:rPr>
      </w:pPr>
      <w:r w:rsidRPr="001977EE">
        <w:rPr>
          <w:rFonts w:ascii="Arial" w:eastAsia="Calibri" w:hAnsi="Arial" w:cs="Arial"/>
          <w:b/>
        </w:rPr>
        <w:lastRenderedPageBreak/>
        <w:t xml:space="preserve">Appendix 2 (Mandatory </w:t>
      </w:r>
      <w:r w:rsidR="004C792E" w:rsidRPr="001977EE">
        <w:rPr>
          <w:rFonts w:ascii="Arial" w:eastAsia="Calibri" w:hAnsi="Arial" w:cs="Arial"/>
          <w:b/>
        </w:rPr>
        <w:t>Specialisms</w:t>
      </w:r>
      <w:r w:rsidRPr="001977EE">
        <w:rPr>
          <w:rFonts w:ascii="Arial" w:eastAsia="Calibri" w:hAnsi="Arial" w:cs="Arial"/>
          <w:b/>
        </w:rPr>
        <w:t>)</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34"/>
        <w:gridCol w:w="5670"/>
      </w:tblGrid>
      <w:tr w:rsidR="001977EE" w:rsidRPr="001977EE" w14:paraId="0BB35A69" w14:textId="77777777" w:rsidTr="00290483">
        <w:trPr>
          <w:tblHeader/>
        </w:trPr>
        <w:tc>
          <w:tcPr>
            <w:tcW w:w="1276" w:type="dxa"/>
            <w:tcBorders>
              <w:bottom w:val="single" w:sz="4" w:space="0" w:color="auto"/>
            </w:tcBorders>
            <w:shd w:val="clear" w:color="auto" w:fill="BFBFBF" w:themeFill="background1" w:themeFillShade="BF"/>
          </w:tcPr>
          <w:p w14:paraId="59F8D05E" w14:textId="1EF31159" w:rsidR="00B62489" w:rsidRPr="001977EE" w:rsidRDefault="00630C2F" w:rsidP="00B70A33">
            <w:pPr>
              <w:pStyle w:val="MarginText"/>
              <w:overflowPunct w:val="0"/>
              <w:autoSpaceDE w:val="0"/>
              <w:autoSpaceDN w:val="0"/>
              <w:spacing w:before="120" w:after="120"/>
              <w:jc w:val="center"/>
              <w:textAlignment w:val="baseline"/>
              <w:rPr>
                <w:rFonts w:cs="Arial"/>
                <w:b/>
                <w:szCs w:val="22"/>
              </w:rPr>
            </w:pPr>
            <w:r w:rsidRPr="001977EE">
              <w:rPr>
                <w:rFonts w:cs="Arial"/>
                <w:b/>
                <w:szCs w:val="22"/>
              </w:rPr>
              <w:t xml:space="preserve">Mandatory </w:t>
            </w:r>
            <w:r w:rsidR="00B70A33" w:rsidRPr="001977EE">
              <w:rPr>
                <w:rFonts w:cs="Arial"/>
                <w:b/>
                <w:szCs w:val="22"/>
              </w:rPr>
              <w:t>Specialism</w:t>
            </w:r>
            <w:r w:rsidR="00B62489" w:rsidRPr="001977EE">
              <w:rPr>
                <w:rFonts w:cs="Arial"/>
                <w:b/>
                <w:szCs w:val="22"/>
              </w:rPr>
              <w:t xml:space="preserve"> No.</w:t>
            </w:r>
          </w:p>
        </w:tc>
        <w:tc>
          <w:tcPr>
            <w:tcW w:w="2234" w:type="dxa"/>
            <w:tcBorders>
              <w:bottom w:val="single" w:sz="4" w:space="0" w:color="auto"/>
            </w:tcBorders>
            <w:shd w:val="clear" w:color="auto" w:fill="BFBFBF" w:themeFill="background1" w:themeFillShade="BF"/>
          </w:tcPr>
          <w:p w14:paraId="395E9C29" w14:textId="14828430" w:rsidR="00B62489" w:rsidRPr="001977EE" w:rsidRDefault="00630C2F" w:rsidP="003F7B8C">
            <w:pPr>
              <w:pStyle w:val="MarginText"/>
              <w:overflowPunct w:val="0"/>
              <w:autoSpaceDE w:val="0"/>
              <w:autoSpaceDN w:val="0"/>
              <w:spacing w:before="120" w:after="120"/>
              <w:jc w:val="center"/>
              <w:textAlignment w:val="baseline"/>
              <w:rPr>
                <w:rFonts w:cs="Arial"/>
                <w:b/>
                <w:szCs w:val="22"/>
              </w:rPr>
            </w:pPr>
            <w:r w:rsidRPr="001977EE">
              <w:rPr>
                <w:rFonts w:cs="Arial"/>
                <w:b/>
                <w:szCs w:val="22"/>
              </w:rPr>
              <w:t>Service</w:t>
            </w:r>
          </w:p>
        </w:tc>
        <w:tc>
          <w:tcPr>
            <w:tcW w:w="5670" w:type="dxa"/>
            <w:tcBorders>
              <w:bottom w:val="single" w:sz="4" w:space="0" w:color="auto"/>
            </w:tcBorders>
            <w:shd w:val="clear" w:color="auto" w:fill="BFBFBF" w:themeFill="background1" w:themeFillShade="BF"/>
          </w:tcPr>
          <w:p w14:paraId="7D99ADF4" w14:textId="77777777" w:rsidR="00B62489" w:rsidRPr="001977EE" w:rsidRDefault="00B62489" w:rsidP="003F7B8C">
            <w:pPr>
              <w:pStyle w:val="MarginText"/>
              <w:overflowPunct w:val="0"/>
              <w:autoSpaceDE w:val="0"/>
              <w:autoSpaceDN w:val="0"/>
              <w:spacing w:before="120" w:after="120"/>
              <w:jc w:val="center"/>
              <w:textAlignment w:val="baseline"/>
              <w:rPr>
                <w:rFonts w:cs="Arial"/>
                <w:b/>
                <w:szCs w:val="22"/>
              </w:rPr>
            </w:pPr>
            <w:r w:rsidRPr="001977EE">
              <w:rPr>
                <w:rFonts w:cs="Arial"/>
                <w:b/>
                <w:szCs w:val="22"/>
              </w:rPr>
              <w:t>Scope</w:t>
            </w:r>
          </w:p>
        </w:tc>
      </w:tr>
      <w:tr w:rsidR="001977EE" w:rsidRPr="001977EE" w14:paraId="5F89EB77" w14:textId="77777777" w:rsidTr="00C42D38">
        <w:tc>
          <w:tcPr>
            <w:tcW w:w="1276" w:type="dxa"/>
          </w:tcPr>
          <w:p w14:paraId="7AA02FDA" w14:textId="7DFB4056" w:rsidR="00B62489" w:rsidRPr="001977EE" w:rsidRDefault="00D50D58" w:rsidP="003F7B8C">
            <w:pPr>
              <w:spacing w:before="120"/>
              <w:jc w:val="center"/>
              <w:rPr>
                <w:rFonts w:ascii="Arial" w:hAnsi="Arial" w:cs="Arial"/>
              </w:rPr>
            </w:pPr>
            <w:r w:rsidRPr="001977EE">
              <w:rPr>
                <w:rFonts w:ascii="Arial" w:hAnsi="Arial" w:cs="Arial"/>
              </w:rPr>
              <w:t>1</w:t>
            </w:r>
          </w:p>
        </w:tc>
        <w:tc>
          <w:tcPr>
            <w:tcW w:w="2234" w:type="dxa"/>
          </w:tcPr>
          <w:p w14:paraId="6E58C9DC" w14:textId="77777777" w:rsidR="00B62489" w:rsidRPr="001977EE" w:rsidRDefault="00B62489" w:rsidP="003F7B8C">
            <w:pPr>
              <w:spacing w:before="120"/>
              <w:rPr>
                <w:rFonts w:ascii="Arial" w:hAnsi="Arial" w:cs="Arial"/>
                <w:b/>
              </w:rPr>
            </w:pPr>
            <w:r w:rsidRPr="001977EE">
              <w:rPr>
                <w:rFonts w:ascii="Arial" w:hAnsi="Arial" w:cs="Arial"/>
                <w:b/>
              </w:rPr>
              <w:t xml:space="preserve">Public law </w:t>
            </w:r>
          </w:p>
        </w:tc>
        <w:tc>
          <w:tcPr>
            <w:tcW w:w="5670" w:type="dxa"/>
            <w:shd w:val="clear" w:color="auto" w:fill="auto"/>
          </w:tcPr>
          <w:p w14:paraId="5F44ECF0" w14:textId="77777777" w:rsidR="00B62489" w:rsidRPr="001977EE" w:rsidRDefault="00FB040B" w:rsidP="003F7B8C">
            <w:pPr>
              <w:spacing w:before="120"/>
              <w:rPr>
                <w:rFonts w:ascii="Arial" w:hAnsi="Arial" w:cs="Arial"/>
              </w:rPr>
            </w:pPr>
            <w:r w:rsidRPr="001977EE">
              <w:rPr>
                <w:rFonts w:ascii="Arial" w:hAnsi="Arial" w:cs="Arial"/>
              </w:rPr>
              <w:t xml:space="preserve">All aspects of </w:t>
            </w:r>
            <w:r w:rsidR="00C41B25" w:rsidRPr="001977EE">
              <w:rPr>
                <w:rFonts w:ascii="Arial" w:hAnsi="Arial" w:cs="Arial"/>
              </w:rPr>
              <w:t>p</w:t>
            </w:r>
            <w:r w:rsidR="00B62489" w:rsidRPr="001977EE">
              <w:rPr>
                <w:rFonts w:ascii="Arial" w:hAnsi="Arial" w:cs="Arial"/>
              </w:rPr>
              <w:t>ublic law including but not limited to:</w:t>
            </w:r>
          </w:p>
          <w:p w14:paraId="7242A24E" w14:textId="77777777" w:rsidR="00B62489" w:rsidRPr="001977EE" w:rsidRDefault="00B62489" w:rsidP="003F7B8C">
            <w:pPr>
              <w:pStyle w:val="a"/>
              <w:framePr w:hSpace="0" w:wrap="auto" w:vAnchor="margin" w:yAlign="inline"/>
              <w:spacing w:before="120"/>
              <w:suppressOverlap w:val="0"/>
            </w:pPr>
            <w:r w:rsidRPr="001977EE">
              <w:t>powers and functions of Central Government including state aid and equalities law;  and</w:t>
            </w:r>
          </w:p>
          <w:p w14:paraId="0159727E" w14:textId="77777777" w:rsidR="003E49FF" w:rsidRPr="001977EE" w:rsidRDefault="00B62489" w:rsidP="003F7B8C">
            <w:pPr>
              <w:pStyle w:val="a"/>
              <w:framePr w:hSpace="0" w:wrap="auto" w:vAnchor="margin" w:yAlign="inline"/>
              <w:spacing w:before="120"/>
              <w:suppressOverlap w:val="0"/>
            </w:pPr>
            <w:proofErr w:type="gramStart"/>
            <w:r w:rsidRPr="001977EE">
              <w:t>the</w:t>
            </w:r>
            <w:proofErr w:type="gramEnd"/>
            <w:r w:rsidRPr="001977EE">
              <w:t xml:space="preserve"> devolved powers of the Welsh Assembly, Scottish Parliament and Northern Ireland Assembly and sub national devolution </w:t>
            </w:r>
            <w:r w:rsidR="00630C2F" w:rsidRPr="001977EE">
              <w:t>as these</w:t>
            </w:r>
            <w:r w:rsidRPr="001977EE">
              <w:t xml:space="preserve"> relate to other</w:t>
            </w:r>
            <w:r w:rsidR="00630C2F" w:rsidRPr="001977EE">
              <w:t xml:space="preserve"> Mandatory Panel Services</w:t>
            </w:r>
            <w:r w:rsidRPr="001977EE">
              <w:t xml:space="preserve">, </w:t>
            </w:r>
            <w:r w:rsidR="003E49FF" w:rsidRPr="001977EE">
              <w:t xml:space="preserve">but excluding </w:t>
            </w:r>
            <w:r w:rsidRPr="001977EE">
              <w:t xml:space="preserve">the specific devolved laws of </w:t>
            </w:r>
            <w:r w:rsidR="003E49FF" w:rsidRPr="001977EE">
              <w:t xml:space="preserve">such </w:t>
            </w:r>
            <w:r w:rsidRPr="001977EE">
              <w:t>jurisdictions</w:t>
            </w:r>
            <w:r w:rsidR="003E49FF" w:rsidRPr="001977EE">
              <w:t>.</w:t>
            </w:r>
            <w:r w:rsidR="002974E1" w:rsidRPr="001977EE">
              <w:t xml:space="preserve"> </w:t>
            </w:r>
          </w:p>
        </w:tc>
      </w:tr>
      <w:tr w:rsidR="001977EE" w:rsidRPr="001977EE" w14:paraId="461B70C8" w14:textId="77777777" w:rsidTr="00C42D38">
        <w:tc>
          <w:tcPr>
            <w:tcW w:w="1276" w:type="dxa"/>
            <w:shd w:val="clear" w:color="auto" w:fill="auto"/>
          </w:tcPr>
          <w:p w14:paraId="491B2E11" w14:textId="2AE02D69" w:rsidR="00B62489" w:rsidRPr="001977EE" w:rsidRDefault="00D50D58" w:rsidP="003F7B8C">
            <w:pPr>
              <w:spacing w:before="120"/>
              <w:jc w:val="center"/>
              <w:rPr>
                <w:rFonts w:ascii="Arial" w:hAnsi="Arial" w:cs="Arial"/>
              </w:rPr>
            </w:pPr>
            <w:r w:rsidRPr="001977EE">
              <w:rPr>
                <w:rFonts w:ascii="Arial" w:hAnsi="Arial" w:cs="Arial"/>
              </w:rPr>
              <w:t>2</w:t>
            </w:r>
          </w:p>
        </w:tc>
        <w:tc>
          <w:tcPr>
            <w:tcW w:w="2234" w:type="dxa"/>
            <w:shd w:val="clear" w:color="auto" w:fill="auto"/>
          </w:tcPr>
          <w:p w14:paraId="32C30E74" w14:textId="77777777" w:rsidR="00B62489" w:rsidRPr="001977EE" w:rsidRDefault="005513BF" w:rsidP="003F7B8C">
            <w:pPr>
              <w:spacing w:before="120"/>
              <w:rPr>
                <w:rFonts w:ascii="Arial" w:hAnsi="Arial" w:cs="Arial"/>
                <w:b/>
              </w:rPr>
            </w:pPr>
            <w:r w:rsidRPr="001977EE">
              <w:rPr>
                <w:rFonts w:ascii="Arial" w:hAnsi="Arial" w:cs="Arial"/>
                <w:b/>
              </w:rPr>
              <w:t>C</w:t>
            </w:r>
            <w:r w:rsidR="00B62489" w:rsidRPr="001977EE">
              <w:rPr>
                <w:rFonts w:ascii="Arial" w:hAnsi="Arial" w:cs="Arial"/>
                <w:b/>
              </w:rPr>
              <w:t>ontracts</w:t>
            </w:r>
          </w:p>
        </w:tc>
        <w:tc>
          <w:tcPr>
            <w:tcW w:w="5670" w:type="dxa"/>
          </w:tcPr>
          <w:p w14:paraId="000E4E8A" w14:textId="77777777" w:rsidR="00B62489" w:rsidRPr="001977EE" w:rsidRDefault="002974E1" w:rsidP="003F7B8C">
            <w:pPr>
              <w:spacing w:before="120"/>
              <w:rPr>
                <w:rFonts w:ascii="Arial" w:hAnsi="Arial" w:cs="Arial"/>
              </w:rPr>
            </w:pPr>
            <w:r w:rsidRPr="001977EE">
              <w:rPr>
                <w:rFonts w:ascii="Arial" w:hAnsi="Arial" w:cs="Arial"/>
              </w:rPr>
              <w:t xml:space="preserve">All aspects of </w:t>
            </w:r>
            <w:r w:rsidR="005513BF" w:rsidRPr="001977EE">
              <w:rPr>
                <w:rFonts w:ascii="Arial" w:hAnsi="Arial" w:cs="Arial"/>
              </w:rPr>
              <w:t xml:space="preserve">contracts and contract law including </w:t>
            </w:r>
            <w:r w:rsidRPr="001977EE">
              <w:rPr>
                <w:rFonts w:ascii="Arial" w:hAnsi="Arial" w:cs="Arial"/>
              </w:rPr>
              <w:t>c</w:t>
            </w:r>
            <w:r w:rsidR="00B62489" w:rsidRPr="001977EE">
              <w:rPr>
                <w:rFonts w:ascii="Arial" w:hAnsi="Arial" w:cs="Arial"/>
              </w:rPr>
              <w:t xml:space="preserve">ommercial </w:t>
            </w:r>
            <w:r w:rsidRPr="001977EE">
              <w:rPr>
                <w:rFonts w:ascii="Arial" w:hAnsi="Arial" w:cs="Arial"/>
              </w:rPr>
              <w:t>c</w:t>
            </w:r>
            <w:r w:rsidR="00B62489" w:rsidRPr="001977EE">
              <w:rPr>
                <w:rFonts w:ascii="Arial" w:hAnsi="Arial" w:cs="Arial"/>
              </w:rPr>
              <w:t xml:space="preserve">ontracts and other </w:t>
            </w:r>
            <w:r w:rsidRPr="001977EE">
              <w:rPr>
                <w:rFonts w:ascii="Arial" w:hAnsi="Arial" w:cs="Arial"/>
              </w:rPr>
              <w:t xml:space="preserve">commercial </w:t>
            </w:r>
            <w:r w:rsidR="00B62489" w:rsidRPr="001977EE">
              <w:rPr>
                <w:rFonts w:ascii="Arial" w:hAnsi="Arial" w:cs="Arial"/>
              </w:rPr>
              <w:t xml:space="preserve">arrangements including but not limited to:  </w:t>
            </w:r>
          </w:p>
          <w:p w14:paraId="3FE7A1CE" w14:textId="77777777" w:rsidR="002974E1" w:rsidRPr="001977EE" w:rsidRDefault="002974E1" w:rsidP="00114DEC">
            <w:pPr>
              <w:pStyle w:val="a"/>
              <w:framePr w:hSpace="0" w:wrap="auto" w:vAnchor="margin" w:yAlign="inline"/>
              <w:numPr>
                <w:ilvl w:val="0"/>
                <w:numId w:val="9"/>
              </w:numPr>
              <w:spacing w:before="120"/>
              <w:suppressOverlap w:val="0"/>
            </w:pPr>
            <w:r w:rsidRPr="001977EE">
              <w:t>advising on, drafting and negotiating agreements relating to commercial activities including supply of goods and services, outsourcing/contracting out of services, manufacturing, agency and distribution, concession contracts, shared services arrangements, joint ventures and grants;</w:t>
            </w:r>
          </w:p>
          <w:p w14:paraId="343732FB" w14:textId="77777777" w:rsidR="002974E1" w:rsidRPr="001977EE" w:rsidRDefault="002974E1" w:rsidP="00114DEC">
            <w:pPr>
              <w:pStyle w:val="a"/>
              <w:framePr w:hSpace="0" w:wrap="auto" w:vAnchor="margin" w:yAlign="inline"/>
              <w:numPr>
                <w:ilvl w:val="0"/>
                <w:numId w:val="9"/>
              </w:numPr>
              <w:spacing w:before="120"/>
              <w:suppressOverlap w:val="0"/>
            </w:pPr>
            <w:r w:rsidRPr="001977EE">
              <w:t>supporting relationships including advising on rights and obligations, changes, termination/exit and transition between suppliers and advising on complex commercial/contractual reorganisations and restructuring including novation’s, assignments and changes in ownership; and</w:t>
            </w:r>
          </w:p>
          <w:p w14:paraId="0505AF1C" w14:textId="605746BB" w:rsidR="00B62489" w:rsidRPr="001977EE" w:rsidRDefault="002974E1" w:rsidP="00114DEC">
            <w:pPr>
              <w:pStyle w:val="a"/>
              <w:framePr w:hSpace="0" w:wrap="auto" w:vAnchor="margin" w:yAlign="inline"/>
              <w:numPr>
                <w:ilvl w:val="0"/>
                <w:numId w:val="9"/>
              </w:numPr>
              <w:spacing w:before="120"/>
              <w:suppressOverlap w:val="0"/>
            </w:pPr>
            <w:proofErr w:type="gramStart"/>
            <w:r w:rsidRPr="001977EE">
              <w:t>advising</w:t>
            </w:r>
            <w:proofErr w:type="gramEnd"/>
            <w:r w:rsidRPr="001977EE">
              <w:t xml:space="preserve"> on public infrastructure regulation such as UK/EU regulation relating to energy, water, transport and telecommunication industries necessary to support commercial transactions and/or arrangements.</w:t>
            </w:r>
          </w:p>
        </w:tc>
      </w:tr>
      <w:tr w:rsidR="001977EE" w:rsidRPr="001977EE" w14:paraId="66471D82" w14:textId="77777777" w:rsidTr="00C42D38">
        <w:tc>
          <w:tcPr>
            <w:tcW w:w="1276" w:type="dxa"/>
            <w:tcBorders>
              <w:bottom w:val="single" w:sz="4" w:space="0" w:color="auto"/>
            </w:tcBorders>
          </w:tcPr>
          <w:p w14:paraId="25C2778F" w14:textId="753AECE2" w:rsidR="00B62489" w:rsidRPr="001977EE" w:rsidRDefault="00D50D58" w:rsidP="003F7B8C">
            <w:pPr>
              <w:spacing w:before="120"/>
              <w:jc w:val="center"/>
              <w:rPr>
                <w:rFonts w:ascii="Arial" w:hAnsi="Arial" w:cs="Arial"/>
              </w:rPr>
            </w:pPr>
            <w:r w:rsidRPr="001977EE">
              <w:rPr>
                <w:rFonts w:ascii="Arial" w:hAnsi="Arial" w:cs="Arial"/>
              </w:rPr>
              <w:t>3</w:t>
            </w:r>
          </w:p>
        </w:tc>
        <w:tc>
          <w:tcPr>
            <w:tcW w:w="2234" w:type="dxa"/>
            <w:tcBorders>
              <w:bottom w:val="single" w:sz="4" w:space="0" w:color="auto"/>
            </w:tcBorders>
          </w:tcPr>
          <w:p w14:paraId="307166B1" w14:textId="77777777" w:rsidR="00B62489" w:rsidRPr="001977EE" w:rsidRDefault="00B62489" w:rsidP="003F7B8C">
            <w:pPr>
              <w:spacing w:before="120"/>
              <w:rPr>
                <w:rFonts w:ascii="Arial" w:hAnsi="Arial" w:cs="Arial"/>
                <w:b/>
              </w:rPr>
            </w:pPr>
            <w:r w:rsidRPr="001977EE">
              <w:rPr>
                <w:rFonts w:ascii="Arial" w:hAnsi="Arial" w:cs="Arial"/>
                <w:b/>
              </w:rPr>
              <w:t>Competition law</w:t>
            </w:r>
          </w:p>
        </w:tc>
        <w:tc>
          <w:tcPr>
            <w:tcW w:w="5670" w:type="dxa"/>
            <w:tcBorders>
              <w:bottom w:val="single" w:sz="4" w:space="0" w:color="auto"/>
            </w:tcBorders>
            <w:shd w:val="clear" w:color="auto" w:fill="auto"/>
          </w:tcPr>
          <w:p w14:paraId="097D618E" w14:textId="77777777" w:rsidR="00B62489" w:rsidRPr="001977EE" w:rsidRDefault="002974E1" w:rsidP="003F7B8C">
            <w:pPr>
              <w:spacing w:before="120"/>
              <w:rPr>
                <w:rFonts w:ascii="Arial" w:hAnsi="Arial" w:cs="Arial"/>
              </w:rPr>
            </w:pPr>
            <w:r w:rsidRPr="001977EE">
              <w:rPr>
                <w:rFonts w:ascii="Arial" w:hAnsi="Arial" w:cs="Arial"/>
              </w:rPr>
              <w:t>All aspects of c</w:t>
            </w:r>
            <w:r w:rsidR="00B62489" w:rsidRPr="001977EE">
              <w:rPr>
                <w:rFonts w:ascii="Arial" w:hAnsi="Arial" w:cs="Arial"/>
              </w:rPr>
              <w:t>ompetition law including but not limited to:</w:t>
            </w:r>
          </w:p>
          <w:p w14:paraId="2A14427A" w14:textId="77777777" w:rsidR="00B62489" w:rsidRPr="001977EE" w:rsidRDefault="00B62489" w:rsidP="00114DEC">
            <w:pPr>
              <w:pStyle w:val="a"/>
              <w:framePr w:hSpace="0" w:wrap="auto" w:vAnchor="margin" w:yAlign="inline"/>
              <w:numPr>
                <w:ilvl w:val="0"/>
                <w:numId w:val="10"/>
              </w:numPr>
              <w:spacing w:before="120"/>
              <w:suppressOverlap w:val="0"/>
            </w:pPr>
            <w:proofErr w:type="gramStart"/>
            <w:r w:rsidRPr="001977EE">
              <w:t>contentious</w:t>
            </w:r>
            <w:proofErr w:type="gramEnd"/>
            <w:r w:rsidRPr="001977EE">
              <w:t xml:space="preserve"> and non-contentious advice and support in relation to EU, domestic and international competition law, including cartels, abuse of a dominant market position, State Aid and merger control.</w:t>
            </w:r>
          </w:p>
        </w:tc>
      </w:tr>
    </w:tbl>
    <w:p w14:paraId="64B984C4" w14:textId="125724C0" w:rsidR="00C42D38" w:rsidRPr="001977EE" w:rsidRDefault="00C42D38"/>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34"/>
        <w:gridCol w:w="5670"/>
      </w:tblGrid>
      <w:tr w:rsidR="001977EE" w:rsidRPr="001977EE" w14:paraId="1C104C63" w14:textId="77777777" w:rsidTr="00C42D38">
        <w:tc>
          <w:tcPr>
            <w:tcW w:w="1276" w:type="dxa"/>
            <w:tcBorders>
              <w:bottom w:val="single" w:sz="4" w:space="0" w:color="auto"/>
            </w:tcBorders>
          </w:tcPr>
          <w:p w14:paraId="5143E03D" w14:textId="5AE02A09" w:rsidR="00B62489" w:rsidRPr="001977EE" w:rsidRDefault="00D50D58" w:rsidP="003F7B8C">
            <w:pPr>
              <w:spacing w:before="120"/>
              <w:jc w:val="center"/>
              <w:rPr>
                <w:rFonts w:ascii="Arial" w:hAnsi="Arial" w:cs="Arial"/>
              </w:rPr>
            </w:pPr>
            <w:r w:rsidRPr="001977EE">
              <w:rPr>
                <w:rFonts w:ascii="Arial" w:hAnsi="Arial" w:cs="Arial"/>
              </w:rPr>
              <w:lastRenderedPageBreak/>
              <w:t>4</w:t>
            </w:r>
          </w:p>
          <w:p w14:paraId="33FE6019" w14:textId="77777777" w:rsidR="00B62489" w:rsidRPr="001977EE" w:rsidRDefault="00B62489" w:rsidP="003F7B8C">
            <w:pPr>
              <w:spacing w:before="120"/>
              <w:jc w:val="center"/>
              <w:rPr>
                <w:rFonts w:ascii="Arial" w:hAnsi="Arial" w:cs="Arial"/>
              </w:rPr>
            </w:pPr>
          </w:p>
        </w:tc>
        <w:tc>
          <w:tcPr>
            <w:tcW w:w="2234" w:type="dxa"/>
            <w:tcBorders>
              <w:bottom w:val="single" w:sz="4" w:space="0" w:color="auto"/>
            </w:tcBorders>
          </w:tcPr>
          <w:p w14:paraId="40B9740D" w14:textId="77777777" w:rsidR="00B62489" w:rsidRPr="001977EE" w:rsidRDefault="00B62489" w:rsidP="003F7B8C">
            <w:pPr>
              <w:spacing w:before="120"/>
              <w:rPr>
                <w:rFonts w:ascii="Arial" w:hAnsi="Arial" w:cs="Arial"/>
                <w:b/>
              </w:rPr>
            </w:pPr>
            <w:r w:rsidRPr="001977EE">
              <w:rPr>
                <w:rFonts w:ascii="Arial" w:hAnsi="Arial" w:cs="Arial"/>
                <w:b/>
              </w:rPr>
              <w:t>Construction law</w:t>
            </w:r>
          </w:p>
        </w:tc>
        <w:tc>
          <w:tcPr>
            <w:tcW w:w="5670" w:type="dxa"/>
            <w:tcBorders>
              <w:bottom w:val="single" w:sz="4" w:space="0" w:color="auto"/>
            </w:tcBorders>
            <w:shd w:val="clear" w:color="auto" w:fill="auto"/>
          </w:tcPr>
          <w:p w14:paraId="25A5EFD0" w14:textId="77777777" w:rsidR="00B62489" w:rsidRPr="001977EE" w:rsidRDefault="002974E1" w:rsidP="003F7B8C">
            <w:pPr>
              <w:spacing w:before="120"/>
              <w:rPr>
                <w:rFonts w:ascii="Arial" w:hAnsi="Arial" w:cs="Arial"/>
              </w:rPr>
            </w:pPr>
            <w:r w:rsidRPr="001977EE">
              <w:rPr>
                <w:rFonts w:ascii="Arial" w:hAnsi="Arial" w:cs="Arial"/>
              </w:rPr>
              <w:t>All aspects of c</w:t>
            </w:r>
            <w:r w:rsidR="00B62489" w:rsidRPr="001977EE">
              <w:rPr>
                <w:rFonts w:ascii="Arial" w:hAnsi="Arial" w:cs="Arial"/>
              </w:rPr>
              <w:t>onstruction law including but not limited to:</w:t>
            </w:r>
          </w:p>
          <w:p w14:paraId="64689B07" w14:textId="01C1E67B" w:rsidR="00B62489" w:rsidRPr="001977EE" w:rsidRDefault="002974E1" w:rsidP="00114DEC">
            <w:pPr>
              <w:pStyle w:val="a"/>
              <w:framePr w:hSpace="0" w:wrap="auto" w:vAnchor="margin" w:yAlign="inline"/>
              <w:numPr>
                <w:ilvl w:val="0"/>
                <w:numId w:val="11"/>
              </w:numPr>
              <w:spacing w:before="120"/>
              <w:suppressOverlap w:val="0"/>
            </w:pPr>
            <w:proofErr w:type="gramStart"/>
            <w:r w:rsidRPr="001977EE">
              <w:t>advice</w:t>
            </w:r>
            <w:proofErr w:type="gramEnd"/>
            <w:r w:rsidRPr="001977EE">
              <w:t xml:space="preserve"> and support in relation to construction and infrastructure projects.</w:t>
            </w:r>
          </w:p>
        </w:tc>
      </w:tr>
      <w:tr w:rsidR="001977EE" w:rsidRPr="001977EE" w14:paraId="65053EE6" w14:textId="77777777" w:rsidTr="00C42D38">
        <w:tc>
          <w:tcPr>
            <w:tcW w:w="1276" w:type="dxa"/>
            <w:tcBorders>
              <w:bottom w:val="single" w:sz="4" w:space="0" w:color="auto"/>
            </w:tcBorders>
          </w:tcPr>
          <w:p w14:paraId="384F3A92" w14:textId="0DDAA7F3" w:rsidR="00B62489" w:rsidRPr="001977EE" w:rsidRDefault="00D50D58" w:rsidP="003F7B8C">
            <w:pPr>
              <w:spacing w:before="120"/>
              <w:jc w:val="center"/>
              <w:rPr>
                <w:rFonts w:ascii="Arial" w:hAnsi="Arial" w:cs="Arial"/>
              </w:rPr>
            </w:pPr>
            <w:r w:rsidRPr="001977EE">
              <w:rPr>
                <w:rFonts w:ascii="Arial" w:hAnsi="Arial" w:cs="Arial"/>
              </w:rPr>
              <w:t>5</w:t>
            </w:r>
          </w:p>
        </w:tc>
        <w:tc>
          <w:tcPr>
            <w:tcW w:w="2234" w:type="dxa"/>
            <w:tcBorders>
              <w:bottom w:val="single" w:sz="4" w:space="0" w:color="auto"/>
            </w:tcBorders>
          </w:tcPr>
          <w:p w14:paraId="5286CD40" w14:textId="77777777" w:rsidR="00B62489" w:rsidRPr="001977EE" w:rsidRDefault="00A8057A" w:rsidP="003F7B8C">
            <w:pPr>
              <w:spacing w:before="120"/>
              <w:rPr>
                <w:rFonts w:ascii="Arial" w:hAnsi="Arial" w:cs="Arial"/>
                <w:b/>
              </w:rPr>
            </w:pPr>
            <w:r w:rsidRPr="001977EE">
              <w:rPr>
                <w:rFonts w:ascii="Arial" w:hAnsi="Arial" w:cs="Arial"/>
                <w:b/>
              </w:rPr>
              <w:t>Corporate law</w:t>
            </w:r>
          </w:p>
        </w:tc>
        <w:tc>
          <w:tcPr>
            <w:tcW w:w="5670" w:type="dxa"/>
            <w:tcBorders>
              <w:bottom w:val="single" w:sz="4" w:space="0" w:color="auto"/>
            </w:tcBorders>
            <w:shd w:val="clear" w:color="auto" w:fill="auto"/>
          </w:tcPr>
          <w:p w14:paraId="187D04C4" w14:textId="77777777" w:rsidR="00B62489" w:rsidRPr="001977EE" w:rsidRDefault="00A8057A" w:rsidP="003F7B8C">
            <w:pPr>
              <w:spacing w:before="120"/>
              <w:rPr>
                <w:rFonts w:ascii="Arial" w:hAnsi="Arial" w:cs="Arial"/>
              </w:rPr>
            </w:pPr>
            <w:r w:rsidRPr="001977EE">
              <w:rPr>
                <w:rFonts w:ascii="Arial" w:hAnsi="Arial" w:cs="Arial"/>
              </w:rPr>
              <w:t>All aspects of c</w:t>
            </w:r>
            <w:r w:rsidR="00B62489" w:rsidRPr="001977EE">
              <w:rPr>
                <w:rFonts w:ascii="Arial" w:hAnsi="Arial" w:cs="Arial"/>
              </w:rPr>
              <w:t>orporate</w:t>
            </w:r>
            <w:r w:rsidRPr="001977EE">
              <w:rPr>
                <w:rFonts w:ascii="Arial" w:hAnsi="Arial" w:cs="Arial"/>
              </w:rPr>
              <w:t xml:space="preserve"> law</w:t>
            </w:r>
            <w:r w:rsidR="00B62489" w:rsidRPr="001977EE">
              <w:rPr>
                <w:rFonts w:ascii="Arial" w:hAnsi="Arial" w:cs="Arial"/>
              </w:rPr>
              <w:t xml:space="preserve"> including but not limited to:  </w:t>
            </w:r>
          </w:p>
          <w:p w14:paraId="0F2C97FE" w14:textId="77777777" w:rsidR="00A8057A" w:rsidRPr="001977EE" w:rsidRDefault="00A8057A" w:rsidP="00114DEC">
            <w:pPr>
              <w:pStyle w:val="a"/>
              <w:framePr w:hSpace="0" w:wrap="auto" w:vAnchor="margin" w:yAlign="inline"/>
              <w:numPr>
                <w:ilvl w:val="0"/>
                <w:numId w:val="12"/>
              </w:numPr>
              <w:spacing w:before="120"/>
              <w:suppressOverlap w:val="0"/>
            </w:pPr>
            <w:r w:rsidRPr="001977EE">
              <w:t xml:space="preserve">company law; </w:t>
            </w:r>
          </w:p>
          <w:p w14:paraId="3CCF9502" w14:textId="77777777" w:rsidR="00A8057A" w:rsidRPr="001977EE" w:rsidRDefault="00A8057A" w:rsidP="00114DEC">
            <w:pPr>
              <w:pStyle w:val="a"/>
              <w:framePr w:hSpace="0" w:wrap="auto" w:vAnchor="margin" w:yAlign="inline"/>
              <w:numPr>
                <w:ilvl w:val="0"/>
                <w:numId w:val="12"/>
              </w:numPr>
              <w:spacing w:before="120"/>
              <w:suppressOverlap w:val="0"/>
            </w:pPr>
            <w:r w:rsidRPr="001977EE">
              <w:t xml:space="preserve">public and private company transactions (including mergers &amp; acquisitions and corporate finance); </w:t>
            </w:r>
          </w:p>
          <w:p w14:paraId="02944E3D" w14:textId="77777777" w:rsidR="00A8057A" w:rsidRPr="001977EE" w:rsidRDefault="00A8057A" w:rsidP="00114DEC">
            <w:pPr>
              <w:pStyle w:val="a"/>
              <w:framePr w:hSpace="0" w:wrap="auto" w:vAnchor="margin" w:yAlign="inline"/>
              <w:numPr>
                <w:ilvl w:val="0"/>
                <w:numId w:val="12"/>
              </w:numPr>
              <w:spacing w:before="120"/>
              <w:suppressOverlap w:val="0"/>
            </w:pPr>
            <w:r w:rsidRPr="001977EE">
              <w:t>share acquisition, disposals, capitalisations;</w:t>
            </w:r>
          </w:p>
          <w:p w14:paraId="0E8A2BD7" w14:textId="77777777" w:rsidR="00A8057A" w:rsidRPr="001977EE" w:rsidRDefault="00A8057A" w:rsidP="00114DEC">
            <w:pPr>
              <w:pStyle w:val="a"/>
              <w:framePr w:hSpace="0" w:wrap="auto" w:vAnchor="margin" w:yAlign="inline"/>
              <w:numPr>
                <w:ilvl w:val="0"/>
                <w:numId w:val="12"/>
              </w:numPr>
              <w:spacing w:before="120"/>
              <w:suppressOverlap w:val="0"/>
            </w:pPr>
            <w:r w:rsidRPr="001977EE">
              <w:t xml:space="preserve">entity selection and formation of Government companies and Government joint ventures and venture capital advice; </w:t>
            </w:r>
          </w:p>
          <w:p w14:paraId="65C09AFE" w14:textId="77777777" w:rsidR="00A8057A" w:rsidRPr="001977EE" w:rsidRDefault="00A8057A" w:rsidP="00114DEC">
            <w:pPr>
              <w:pStyle w:val="a"/>
              <w:framePr w:hSpace="0" w:wrap="auto" w:vAnchor="margin" w:yAlign="inline"/>
              <w:numPr>
                <w:ilvl w:val="0"/>
                <w:numId w:val="12"/>
              </w:numPr>
              <w:spacing w:before="120"/>
              <w:suppressOverlap w:val="0"/>
            </w:pPr>
            <w:r w:rsidRPr="001977EE">
              <w:t xml:space="preserve">directors’ duties; </w:t>
            </w:r>
          </w:p>
          <w:p w14:paraId="2906E27C" w14:textId="77777777" w:rsidR="00A8057A" w:rsidRPr="001977EE" w:rsidRDefault="00A8057A" w:rsidP="00114DEC">
            <w:pPr>
              <w:pStyle w:val="a"/>
              <w:framePr w:hSpace="0" w:wrap="auto" w:vAnchor="margin" w:yAlign="inline"/>
              <w:numPr>
                <w:ilvl w:val="0"/>
                <w:numId w:val="12"/>
              </w:numPr>
              <w:spacing w:before="120"/>
              <w:suppressOverlap w:val="0"/>
            </w:pPr>
            <w:r w:rsidRPr="001977EE">
              <w:t>company secretarial services;</w:t>
            </w:r>
          </w:p>
          <w:p w14:paraId="082B6B38" w14:textId="77777777" w:rsidR="00A8057A" w:rsidRPr="001977EE" w:rsidRDefault="00A8057A" w:rsidP="00114DEC">
            <w:pPr>
              <w:pStyle w:val="a"/>
              <w:framePr w:hSpace="0" w:wrap="auto" w:vAnchor="margin" w:yAlign="inline"/>
              <w:numPr>
                <w:ilvl w:val="0"/>
                <w:numId w:val="12"/>
              </w:numPr>
              <w:spacing w:before="120"/>
              <w:suppressOverlap w:val="0"/>
            </w:pPr>
            <w:r w:rsidRPr="001977EE">
              <w:t>operating and partnership agreements, mutual;</w:t>
            </w:r>
          </w:p>
          <w:p w14:paraId="04BCF15B" w14:textId="77777777" w:rsidR="00A8057A" w:rsidRPr="001977EE" w:rsidRDefault="00A8057A" w:rsidP="00114DEC">
            <w:pPr>
              <w:pStyle w:val="a"/>
              <w:framePr w:hSpace="0" w:wrap="auto" w:vAnchor="margin" w:yAlign="inline"/>
              <w:numPr>
                <w:ilvl w:val="0"/>
                <w:numId w:val="12"/>
              </w:numPr>
              <w:spacing w:before="120"/>
              <w:suppressOverlap w:val="0"/>
            </w:pPr>
            <w:r w:rsidRPr="001977EE">
              <w:t xml:space="preserve">securities and governance matters; and </w:t>
            </w:r>
          </w:p>
          <w:p w14:paraId="5F052FBD" w14:textId="521CE4B2" w:rsidR="00B62489" w:rsidRPr="001977EE" w:rsidRDefault="00A8057A" w:rsidP="00114DEC">
            <w:pPr>
              <w:pStyle w:val="a"/>
              <w:framePr w:hSpace="0" w:wrap="auto" w:vAnchor="margin" w:yAlign="inline"/>
              <w:numPr>
                <w:ilvl w:val="0"/>
                <w:numId w:val="12"/>
              </w:numPr>
              <w:spacing w:before="120"/>
              <w:suppressOverlap w:val="0"/>
            </w:pPr>
            <w:proofErr w:type="gramStart"/>
            <w:r w:rsidRPr="001977EE">
              <w:t>restructuring</w:t>
            </w:r>
            <w:proofErr w:type="gramEnd"/>
            <w:r w:rsidRPr="001977EE">
              <w:t xml:space="preserve"> of ownership and complex and innovative legal structures and initiatives.</w:t>
            </w:r>
          </w:p>
        </w:tc>
      </w:tr>
      <w:tr w:rsidR="001977EE" w:rsidRPr="001977EE" w14:paraId="4097A04A" w14:textId="77777777" w:rsidTr="00C42D38">
        <w:tc>
          <w:tcPr>
            <w:tcW w:w="1276" w:type="dxa"/>
            <w:tcBorders>
              <w:bottom w:val="single" w:sz="4" w:space="0" w:color="auto"/>
            </w:tcBorders>
          </w:tcPr>
          <w:p w14:paraId="7E690DBE" w14:textId="13ED0A95" w:rsidR="00EC1B20" w:rsidRPr="001977EE" w:rsidRDefault="00EC1B20" w:rsidP="003F7B8C">
            <w:pPr>
              <w:spacing w:before="120"/>
              <w:jc w:val="center"/>
              <w:rPr>
                <w:rFonts w:ascii="Arial" w:hAnsi="Arial" w:cs="Arial"/>
              </w:rPr>
            </w:pPr>
            <w:r w:rsidRPr="001977EE">
              <w:rPr>
                <w:rFonts w:ascii="Arial" w:hAnsi="Arial" w:cs="Arial"/>
              </w:rPr>
              <w:t>6</w:t>
            </w:r>
          </w:p>
        </w:tc>
        <w:tc>
          <w:tcPr>
            <w:tcW w:w="2234" w:type="dxa"/>
            <w:tcBorders>
              <w:bottom w:val="single" w:sz="4" w:space="0" w:color="auto"/>
            </w:tcBorders>
          </w:tcPr>
          <w:p w14:paraId="1F413BD2" w14:textId="44C85818" w:rsidR="00EC1B20" w:rsidRPr="001977EE" w:rsidRDefault="00EC1B20" w:rsidP="003F7B8C">
            <w:pPr>
              <w:spacing w:before="120"/>
              <w:rPr>
                <w:rFonts w:ascii="Arial" w:hAnsi="Arial" w:cs="Arial"/>
                <w:b/>
              </w:rPr>
            </w:pPr>
            <w:r w:rsidRPr="001977EE">
              <w:rPr>
                <w:rFonts w:ascii="Arial" w:hAnsi="Arial" w:cs="Arial"/>
                <w:b/>
              </w:rPr>
              <w:t>Dispute Resolution</w:t>
            </w:r>
          </w:p>
        </w:tc>
        <w:tc>
          <w:tcPr>
            <w:tcW w:w="5670" w:type="dxa"/>
            <w:tcBorders>
              <w:bottom w:val="single" w:sz="4" w:space="0" w:color="auto"/>
            </w:tcBorders>
            <w:shd w:val="clear" w:color="auto" w:fill="auto"/>
          </w:tcPr>
          <w:p w14:paraId="24A09C44" w14:textId="0EEC85D4" w:rsidR="00EC1B20" w:rsidRPr="001977EE" w:rsidRDefault="00EC1B20" w:rsidP="003C79E9">
            <w:pPr>
              <w:spacing w:before="120"/>
              <w:rPr>
                <w:rFonts w:ascii="Arial" w:hAnsi="Arial" w:cs="Arial"/>
              </w:rPr>
            </w:pPr>
            <w:r w:rsidRPr="001977EE">
              <w:rPr>
                <w:rFonts w:ascii="Arial" w:hAnsi="Arial" w:cs="Arial"/>
              </w:rPr>
              <w:t>a)</w:t>
            </w:r>
            <w:r w:rsidRPr="001977EE">
              <w:rPr>
                <w:rFonts w:ascii="Arial" w:hAnsi="Arial" w:cs="Arial"/>
              </w:rPr>
              <w:tab/>
            </w:r>
            <w:proofErr w:type="gramStart"/>
            <w:r w:rsidRPr="001977EE">
              <w:rPr>
                <w:rFonts w:ascii="Arial" w:hAnsi="Arial" w:cs="Arial"/>
              </w:rPr>
              <w:t>dispute</w:t>
            </w:r>
            <w:proofErr w:type="gramEnd"/>
            <w:r w:rsidRPr="001977EE">
              <w:rPr>
                <w:rFonts w:ascii="Arial" w:hAnsi="Arial" w:cs="Arial"/>
              </w:rPr>
              <w:t xml:space="preserve"> handling and resolution against and on behalf of Panel Customers including alternative dispute resolution, arbitration, mediation, contractual resolution procedures, advocacy and early advice on disputes.</w:t>
            </w:r>
          </w:p>
        </w:tc>
      </w:tr>
      <w:tr w:rsidR="001977EE" w:rsidRPr="001977EE" w14:paraId="71C83A82" w14:textId="77777777" w:rsidTr="00C42D38">
        <w:tc>
          <w:tcPr>
            <w:tcW w:w="1276" w:type="dxa"/>
            <w:tcBorders>
              <w:bottom w:val="single" w:sz="4" w:space="0" w:color="auto"/>
            </w:tcBorders>
          </w:tcPr>
          <w:p w14:paraId="154AE436" w14:textId="3B8BBE83" w:rsidR="00B62489" w:rsidRPr="001977EE" w:rsidRDefault="00EC1B20" w:rsidP="003F7B8C">
            <w:pPr>
              <w:spacing w:before="120"/>
              <w:jc w:val="center"/>
              <w:rPr>
                <w:rFonts w:ascii="Arial" w:hAnsi="Arial" w:cs="Arial"/>
              </w:rPr>
            </w:pPr>
            <w:r w:rsidRPr="001977EE">
              <w:rPr>
                <w:rFonts w:ascii="Arial" w:hAnsi="Arial" w:cs="Arial"/>
              </w:rPr>
              <w:t>7</w:t>
            </w:r>
          </w:p>
        </w:tc>
        <w:tc>
          <w:tcPr>
            <w:tcW w:w="2234" w:type="dxa"/>
            <w:tcBorders>
              <w:bottom w:val="single" w:sz="4" w:space="0" w:color="auto"/>
            </w:tcBorders>
          </w:tcPr>
          <w:p w14:paraId="7521993F" w14:textId="77777777" w:rsidR="00B62489" w:rsidRPr="001977EE" w:rsidRDefault="00B62489" w:rsidP="003F7B8C">
            <w:pPr>
              <w:spacing w:before="120"/>
              <w:rPr>
                <w:rFonts w:ascii="Arial" w:hAnsi="Arial" w:cs="Arial"/>
                <w:b/>
              </w:rPr>
            </w:pPr>
            <w:r w:rsidRPr="001977EE">
              <w:rPr>
                <w:rFonts w:ascii="Arial" w:hAnsi="Arial" w:cs="Arial"/>
                <w:b/>
              </w:rPr>
              <w:t>Employment law</w:t>
            </w:r>
          </w:p>
        </w:tc>
        <w:tc>
          <w:tcPr>
            <w:tcW w:w="5670" w:type="dxa"/>
            <w:tcBorders>
              <w:bottom w:val="single" w:sz="4" w:space="0" w:color="auto"/>
            </w:tcBorders>
            <w:shd w:val="clear" w:color="auto" w:fill="auto"/>
          </w:tcPr>
          <w:p w14:paraId="2500F77B" w14:textId="77777777" w:rsidR="00B62489" w:rsidRPr="001977EE" w:rsidRDefault="00756825" w:rsidP="003F7B8C">
            <w:pPr>
              <w:spacing w:before="120"/>
              <w:rPr>
                <w:rFonts w:ascii="Arial" w:hAnsi="Arial" w:cs="Arial"/>
              </w:rPr>
            </w:pPr>
            <w:r w:rsidRPr="001977EE">
              <w:rPr>
                <w:rFonts w:ascii="Arial" w:hAnsi="Arial" w:cs="Arial"/>
              </w:rPr>
              <w:t>All aspects of e</w:t>
            </w:r>
            <w:r w:rsidR="00B62489" w:rsidRPr="001977EE">
              <w:rPr>
                <w:rFonts w:ascii="Arial" w:hAnsi="Arial" w:cs="Arial"/>
              </w:rPr>
              <w:t>mployment law including but not limited to:</w:t>
            </w:r>
          </w:p>
          <w:p w14:paraId="3122EB3F" w14:textId="77777777" w:rsidR="00756825" w:rsidRPr="001977EE" w:rsidRDefault="00756825" w:rsidP="00114DEC">
            <w:pPr>
              <w:pStyle w:val="a"/>
              <w:framePr w:hSpace="0" w:wrap="auto" w:vAnchor="margin" w:yAlign="inline"/>
              <w:numPr>
                <w:ilvl w:val="0"/>
                <w:numId w:val="13"/>
              </w:numPr>
              <w:spacing w:before="120"/>
              <w:suppressOverlap w:val="0"/>
            </w:pPr>
            <w:r w:rsidRPr="001977EE">
              <w:t xml:space="preserve">non-contentious employment matters relating to TUPE, COSOP, redundancies, restructuring, outsourcing, changes in terms and conditions, and reorganisations; and </w:t>
            </w:r>
          </w:p>
          <w:p w14:paraId="23A7A741" w14:textId="77777777" w:rsidR="00B62489" w:rsidRPr="001977EE" w:rsidRDefault="00756825" w:rsidP="00114DEC">
            <w:pPr>
              <w:pStyle w:val="a"/>
              <w:framePr w:hSpace="0" w:wrap="auto" w:vAnchor="margin" w:yAlign="inline"/>
              <w:numPr>
                <w:ilvl w:val="0"/>
                <w:numId w:val="13"/>
              </w:numPr>
              <w:spacing w:before="120"/>
              <w:suppressOverlap w:val="0"/>
            </w:pPr>
            <w:proofErr w:type="gramStart"/>
            <w:r w:rsidRPr="001977EE">
              <w:t>contentious</w:t>
            </w:r>
            <w:proofErr w:type="gramEnd"/>
            <w:r w:rsidRPr="001977EE">
              <w:t xml:space="preserve"> employment law including litigation and dispute resolution.</w:t>
            </w:r>
          </w:p>
        </w:tc>
      </w:tr>
      <w:tr w:rsidR="001977EE" w:rsidRPr="001977EE" w14:paraId="7E0C3533" w14:textId="77777777" w:rsidTr="00C42D38">
        <w:tc>
          <w:tcPr>
            <w:tcW w:w="1276" w:type="dxa"/>
            <w:tcBorders>
              <w:bottom w:val="single" w:sz="4" w:space="0" w:color="auto"/>
            </w:tcBorders>
          </w:tcPr>
          <w:p w14:paraId="29797B86" w14:textId="7B188AF1" w:rsidR="00B62489" w:rsidRPr="001977EE" w:rsidRDefault="00EC1B20" w:rsidP="003F7B8C">
            <w:pPr>
              <w:spacing w:before="120"/>
              <w:jc w:val="center"/>
              <w:rPr>
                <w:rFonts w:ascii="Arial" w:hAnsi="Arial" w:cs="Arial"/>
              </w:rPr>
            </w:pPr>
            <w:r w:rsidRPr="001977EE">
              <w:rPr>
                <w:rFonts w:ascii="Arial" w:hAnsi="Arial" w:cs="Arial"/>
              </w:rPr>
              <w:t>8</w:t>
            </w:r>
          </w:p>
        </w:tc>
        <w:tc>
          <w:tcPr>
            <w:tcW w:w="2234" w:type="dxa"/>
            <w:tcBorders>
              <w:bottom w:val="single" w:sz="4" w:space="0" w:color="auto"/>
            </w:tcBorders>
          </w:tcPr>
          <w:p w14:paraId="3484858B" w14:textId="77777777" w:rsidR="00B62489" w:rsidRPr="001977EE" w:rsidRDefault="00B62489" w:rsidP="003F7B8C">
            <w:pPr>
              <w:spacing w:before="120"/>
              <w:rPr>
                <w:rFonts w:ascii="Arial" w:hAnsi="Arial" w:cs="Arial"/>
                <w:b/>
              </w:rPr>
            </w:pPr>
            <w:r w:rsidRPr="001977EE">
              <w:rPr>
                <w:rFonts w:ascii="Arial" w:hAnsi="Arial" w:cs="Arial"/>
                <w:b/>
              </w:rPr>
              <w:t>Environment</w:t>
            </w:r>
            <w:r w:rsidR="00756825" w:rsidRPr="001977EE">
              <w:rPr>
                <w:rFonts w:ascii="Arial" w:hAnsi="Arial" w:cs="Arial"/>
                <w:b/>
              </w:rPr>
              <w:t>al</w:t>
            </w:r>
            <w:r w:rsidRPr="001977EE">
              <w:rPr>
                <w:rFonts w:ascii="Arial" w:hAnsi="Arial" w:cs="Arial"/>
                <w:b/>
              </w:rPr>
              <w:t xml:space="preserve"> law</w:t>
            </w:r>
          </w:p>
        </w:tc>
        <w:tc>
          <w:tcPr>
            <w:tcW w:w="5670" w:type="dxa"/>
            <w:tcBorders>
              <w:bottom w:val="single" w:sz="4" w:space="0" w:color="auto"/>
            </w:tcBorders>
            <w:shd w:val="clear" w:color="auto" w:fill="auto"/>
          </w:tcPr>
          <w:p w14:paraId="5B03F25F" w14:textId="77777777" w:rsidR="00B62489" w:rsidRPr="001977EE" w:rsidRDefault="00756825" w:rsidP="003F7B8C">
            <w:pPr>
              <w:spacing w:before="120"/>
              <w:rPr>
                <w:rFonts w:ascii="Arial" w:hAnsi="Arial" w:cs="Arial"/>
              </w:rPr>
            </w:pPr>
            <w:r w:rsidRPr="001977EE">
              <w:rPr>
                <w:rFonts w:ascii="Arial" w:hAnsi="Arial" w:cs="Arial"/>
              </w:rPr>
              <w:t>All aspects of e</w:t>
            </w:r>
            <w:r w:rsidR="00B62489" w:rsidRPr="001977EE">
              <w:rPr>
                <w:rFonts w:ascii="Arial" w:hAnsi="Arial" w:cs="Arial"/>
              </w:rPr>
              <w:t>nvironment</w:t>
            </w:r>
            <w:r w:rsidRPr="001977EE">
              <w:rPr>
                <w:rFonts w:ascii="Arial" w:hAnsi="Arial" w:cs="Arial"/>
              </w:rPr>
              <w:t>al</w:t>
            </w:r>
            <w:r w:rsidR="00B62489" w:rsidRPr="001977EE">
              <w:rPr>
                <w:rFonts w:ascii="Arial" w:hAnsi="Arial" w:cs="Arial"/>
              </w:rPr>
              <w:t xml:space="preserve"> law including but not limited to:</w:t>
            </w:r>
          </w:p>
          <w:p w14:paraId="690EF64F" w14:textId="6A696625" w:rsidR="00B62489" w:rsidRPr="001977EE" w:rsidRDefault="00756825" w:rsidP="00114DEC">
            <w:pPr>
              <w:pStyle w:val="a"/>
              <w:framePr w:hSpace="0" w:wrap="auto" w:vAnchor="margin" w:yAlign="inline"/>
              <w:numPr>
                <w:ilvl w:val="0"/>
                <w:numId w:val="14"/>
              </w:numPr>
              <w:spacing w:before="120"/>
              <w:suppressOverlap w:val="0"/>
            </w:pPr>
            <w:proofErr w:type="gramStart"/>
            <w:r w:rsidRPr="001977EE">
              <w:t>litigation</w:t>
            </w:r>
            <w:proofErr w:type="gramEnd"/>
            <w:r w:rsidRPr="001977EE">
              <w:t>, advisory and transactional support for on environmental matters including due diligence, planning, inquiries and regulatory compliance.</w:t>
            </w:r>
          </w:p>
        </w:tc>
      </w:tr>
      <w:tr w:rsidR="001977EE" w:rsidRPr="001977EE" w14:paraId="6F979228" w14:textId="77777777" w:rsidTr="00C42D38">
        <w:tc>
          <w:tcPr>
            <w:tcW w:w="1276" w:type="dxa"/>
            <w:tcBorders>
              <w:bottom w:val="single" w:sz="4" w:space="0" w:color="auto"/>
            </w:tcBorders>
          </w:tcPr>
          <w:p w14:paraId="3561D313" w14:textId="77973A35" w:rsidR="00B62489" w:rsidRPr="001977EE" w:rsidRDefault="00EC1B20" w:rsidP="003F7B8C">
            <w:pPr>
              <w:spacing w:before="120"/>
              <w:jc w:val="center"/>
              <w:rPr>
                <w:rFonts w:ascii="Arial" w:hAnsi="Arial" w:cs="Arial"/>
              </w:rPr>
            </w:pPr>
            <w:r w:rsidRPr="001977EE">
              <w:rPr>
                <w:rFonts w:ascii="Arial" w:hAnsi="Arial" w:cs="Arial"/>
              </w:rPr>
              <w:t>9</w:t>
            </w:r>
          </w:p>
        </w:tc>
        <w:tc>
          <w:tcPr>
            <w:tcW w:w="2234" w:type="dxa"/>
            <w:tcBorders>
              <w:bottom w:val="single" w:sz="4" w:space="0" w:color="auto"/>
            </w:tcBorders>
          </w:tcPr>
          <w:p w14:paraId="04EB48F6" w14:textId="77777777" w:rsidR="00B62489" w:rsidRPr="001977EE" w:rsidRDefault="00B62489" w:rsidP="003F7B8C">
            <w:pPr>
              <w:spacing w:before="120"/>
              <w:rPr>
                <w:rFonts w:ascii="Arial" w:hAnsi="Arial" w:cs="Arial"/>
                <w:b/>
              </w:rPr>
            </w:pPr>
            <w:r w:rsidRPr="001977EE">
              <w:rPr>
                <w:rFonts w:ascii="Arial" w:hAnsi="Arial" w:cs="Arial"/>
                <w:b/>
              </w:rPr>
              <w:t>EU law</w:t>
            </w:r>
          </w:p>
        </w:tc>
        <w:tc>
          <w:tcPr>
            <w:tcW w:w="5670" w:type="dxa"/>
            <w:tcBorders>
              <w:bottom w:val="single" w:sz="4" w:space="0" w:color="auto"/>
            </w:tcBorders>
            <w:shd w:val="clear" w:color="auto" w:fill="auto"/>
          </w:tcPr>
          <w:p w14:paraId="515ABCAA" w14:textId="77777777" w:rsidR="00B62489" w:rsidRPr="001977EE" w:rsidRDefault="00756825" w:rsidP="003F7B8C">
            <w:pPr>
              <w:spacing w:before="120"/>
              <w:rPr>
                <w:rFonts w:ascii="Arial" w:hAnsi="Arial" w:cs="Arial"/>
              </w:rPr>
            </w:pPr>
            <w:r w:rsidRPr="001977EE">
              <w:rPr>
                <w:rFonts w:ascii="Arial" w:hAnsi="Arial" w:cs="Arial"/>
              </w:rPr>
              <w:t xml:space="preserve">All aspects of </w:t>
            </w:r>
            <w:r w:rsidR="00B62489" w:rsidRPr="001977EE">
              <w:rPr>
                <w:rFonts w:ascii="Arial" w:hAnsi="Arial" w:cs="Arial"/>
              </w:rPr>
              <w:t>EU law including but not limited to:</w:t>
            </w:r>
          </w:p>
          <w:p w14:paraId="49B63EE4" w14:textId="01C3DA32" w:rsidR="00B62489" w:rsidRPr="001977EE" w:rsidRDefault="00756825" w:rsidP="00114DEC">
            <w:pPr>
              <w:pStyle w:val="a"/>
              <w:framePr w:hSpace="0" w:wrap="auto" w:vAnchor="margin" w:yAlign="inline"/>
              <w:numPr>
                <w:ilvl w:val="0"/>
                <w:numId w:val="15"/>
              </w:numPr>
              <w:spacing w:before="120"/>
              <w:suppressOverlap w:val="0"/>
            </w:pPr>
            <w:proofErr w:type="gramStart"/>
            <w:r w:rsidRPr="001977EE">
              <w:lastRenderedPageBreak/>
              <w:t>contentious</w:t>
            </w:r>
            <w:proofErr w:type="gramEnd"/>
            <w:r w:rsidRPr="001977EE">
              <w:t xml:space="preserve"> and non-contentious advice.</w:t>
            </w:r>
          </w:p>
        </w:tc>
      </w:tr>
      <w:tr w:rsidR="001977EE" w:rsidRPr="001977EE" w14:paraId="55F4E4CB" w14:textId="77777777" w:rsidTr="00C42D38">
        <w:tc>
          <w:tcPr>
            <w:tcW w:w="1276" w:type="dxa"/>
            <w:tcBorders>
              <w:bottom w:val="single" w:sz="4" w:space="0" w:color="auto"/>
            </w:tcBorders>
          </w:tcPr>
          <w:p w14:paraId="18930940" w14:textId="7FA0EA6D" w:rsidR="00B62489" w:rsidRPr="001977EE" w:rsidRDefault="00EC1B20" w:rsidP="003F7B8C">
            <w:pPr>
              <w:spacing w:before="120"/>
              <w:jc w:val="center"/>
              <w:rPr>
                <w:rFonts w:ascii="Arial" w:hAnsi="Arial" w:cs="Arial"/>
              </w:rPr>
            </w:pPr>
            <w:r w:rsidRPr="001977EE">
              <w:rPr>
                <w:rFonts w:ascii="Arial" w:hAnsi="Arial" w:cs="Arial"/>
              </w:rPr>
              <w:lastRenderedPageBreak/>
              <w:t>10</w:t>
            </w:r>
          </w:p>
        </w:tc>
        <w:tc>
          <w:tcPr>
            <w:tcW w:w="2234" w:type="dxa"/>
            <w:tcBorders>
              <w:bottom w:val="single" w:sz="4" w:space="0" w:color="auto"/>
            </w:tcBorders>
          </w:tcPr>
          <w:p w14:paraId="5BD69C03" w14:textId="77777777" w:rsidR="00B62489" w:rsidRPr="001977EE" w:rsidRDefault="00B62489" w:rsidP="003F7B8C">
            <w:pPr>
              <w:spacing w:before="120"/>
              <w:rPr>
                <w:rFonts w:ascii="Arial" w:hAnsi="Arial" w:cs="Arial"/>
                <w:b/>
              </w:rPr>
            </w:pPr>
            <w:r w:rsidRPr="001977EE">
              <w:rPr>
                <w:rFonts w:ascii="Arial" w:hAnsi="Arial" w:cs="Arial"/>
                <w:b/>
              </w:rPr>
              <w:t>Information law</w:t>
            </w:r>
            <w:r w:rsidR="00EC7C2F" w:rsidRPr="001977EE">
              <w:rPr>
                <w:rFonts w:ascii="Arial" w:hAnsi="Arial" w:cs="Arial"/>
                <w:b/>
              </w:rPr>
              <w:t xml:space="preserve"> including data protection law</w:t>
            </w:r>
          </w:p>
        </w:tc>
        <w:tc>
          <w:tcPr>
            <w:tcW w:w="5670" w:type="dxa"/>
            <w:tcBorders>
              <w:bottom w:val="single" w:sz="4" w:space="0" w:color="auto"/>
            </w:tcBorders>
            <w:shd w:val="clear" w:color="auto" w:fill="auto"/>
          </w:tcPr>
          <w:p w14:paraId="532C0F08" w14:textId="77777777" w:rsidR="00B62489" w:rsidRPr="001977EE" w:rsidRDefault="00EF70BA" w:rsidP="003F7B8C">
            <w:pPr>
              <w:spacing w:before="120"/>
              <w:rPr>
                <w:rFonts w:ascii="Arial" w:hAnsi="Arial" w:cs="Arial"/>
              </w:rPr>
            </w:pPr>
            <w:r w:rsidRPr="001977EE">
              <w:rPr>
                <w:rFonts w:ascii="Arial" w:hAnsi="Arial" w:cs="Arial"/>
              </w:rPr>
              <w:t>All aspects of i</w:t>
            </w:r>
            <w:r w:rsidR="00B62489" w:rsidRPr="001977EE">
              <w:rPr>
                <w:rFonts w:ascii="Arial" w:hAnsi="Arial" w:cs="Arial"/>
              </w:rPr>
              <w:t>nformation law including but not limited to:</w:t>
            </w:r>
          </w:p>
          <w:p w14:paraId="5C498DFB" w14:textId="77777777" w:rsidR="00EF70BA" w:rsidRPr="001977EE" w:rsidRDefault="00EF70BA" w:rsidP="002E52E2">
            <w:pPr>
              <w:pStyle w:val="a"/>
              <w:framePr w:hSpace="0" w:wrap="auto" w:vAnchor="margin" w:yAlign="inline"/>
              <w:numPr>
                <w:ilvl w:val="0"/>
                <w:numId w:val="16"/>
              </w:numPr>
              <w:spacing w:before="120"/>
              <w:suppressOverlap w:val="0"/>
            </w:pPr>
            <w:r w:rsidRPr="001977EE">
              <w:t xml:space="preserve">the law surrounding the use and control of information by public and private sector bodies, including domestic and EU data protection legislation; </w:t>
            </w:r>
          </w:p>
          <w:p w14:paraId="0CD8BB7D" w14:textId="54E66BB6" w:rsidR="00EF70BA" w:rsidRPr="001977EE" w:rsidRDefault="00EF70BA" w:rsidP="002E52E2">
            <w:pPr>
              <w:pStyle w:val="a"/>
              <w:framePr w:hSpace="0" w:wrap="auto" w:vAnchor="margin" w:yAlign="inline"/>
              <w:numPr>
                <w:ilvl w:val="0"/>
                <w:numId w:val="16"/>
              </w:numPr>
              <w:spacing w:before="120"/>
              <w:suppressOverlap w:val="0"/>
            </w:pPr>
            <w:r w:rsidRPr="001977EE">
              <w:t xml:space="preserve">international data transfers; </w:t>
            </w:r>
          </w:p>
          <w:p w14:paraId="719D7410" w14:textId="14E087E7" w:rsidR="00EF70BA" w:rsidRPr="001977EE" w:rsidRDefault="00EF70BA" w:rsidP="002E52E2">
            <w:pPr>
              <w:pStyle w:val="a"/>
              <w:framePr w:hSpace="0" w:wrap="auto" w:vAnchor="margin" w:yAlign="inline"/>
              <w:numPr>
                <w:ilvl w:val="0"/>
                <w:numId w:val="16"/>
              </w:numPr>
              <w:spacing w:before="120"/>
              <w:suppressOverlap w:val="0"/>
            </w:pPr>
            <w:r w:rsidRPr="001977EE">
              <w:t xml:space="preserve">data protection laws, data requests and complying with the principles of </w:t>
            </w:r>
            <w:r w:rsidR="005513BF" w:rsidRPr="001977EE">
              <w:t xml:space="preserve">transparency; and </w:t>
            </w:r>
          </w:p>
          <w:p w14:paraId="357B4AE4" w14:textId="262B70FE" w:rsidR="00B62489" w:rsidRPr="001977EE" w:rsidRDefault="005513BF" w:rsidP="002E52E2">
            <w:pPr>
              <w:pStyle w:val="a"/>
              <w:framePr w:hSpace="0" w:wrap="auto" w:vAnchor="margin" w:yAlign="inline"/>
              <w:numPr>
                <w:ilvl w:val="0"/>
                <w:numId w:val="16"/>
              </w:numPr>
              <w:spacing w:before="120"/>
              <w:suppressOverlap w:val="0"/>
            </w:pPr>
            <w:r w:rsidRPr="001977EE">
              <w:t>Freedom of Information</w:t>
            </w:r>
            <w:r w:rsidR="00021048" w:rsidRPr="001977EE">
              <w:t>.</w:t>
            </w:r>
          </w:p>
        </w:tc>
      </w:tr>
      <w:tr w:rsidR="001977EE" w:rsidRPr="001977EE" w14:paraId="738E86D1" w14:textId="77777777" w:rsidTr="00C42D38">
        <w:tc>
          <w:tcPr>
            <w:tcW w:w="1276" w:type="dxa"/>
            <w:tcBorders>
              <w:bottom w:val="single" w:sz="4" w:space="0" w:color="auto"/>
            </w:tcBorders>
          </w:tcPr>
          <w:p w14:paraId="2EFA2307" w14:textId="5B4E5C72" w:rsidR="00B62489" w:rsidRPr="001977EE" w:rsidRDefault="00D50D58" w:rsidP="00290483">
            <w:pPr>
              <w:spacing w:before="120"/>
              <w:jc w:val="center"/>
              <w:rPr>
                <w:rFonts w:ascii="Arial" w:hAnsi="Arial" w:cs="Arial"/>
              </w:rPr>
            </w:pPr>
            <w:r w:rsidRPr="001977EE">
              <w:rPr>
                <w:rFonts w:ascii="Arial" w:hAnsi="Arial" w:cs="Arial"/>
              </w:rPr>
              <w:t>1</w:t>
            </w:r>
            <w:r w:rsidR="00EC1B20" w:rsidRPr="001977EE">
              <w:rPr>
                <w:rFonts w:ascii="Arial" w:hAnsi="Arial" w:cs="Arial"/>
              </w:rPr>
              <w:t>1</w:t>
            </w:r>
          </w:p>
        </w:tc>
        <w:tc>
          <w:tcPr>
            <w:tcW w:w="2234" w:type="dxa"/>
            <w:tcBorders>
              <w:bottom w:val="single" w:sz="4" w:space="0" w:color="auto"/>
            </w:tcBorders>
          </w:tcPr>
          <w:p w14:paraId="4D1E90DE" w14:textId="77777777" w:rsidR="00B62489" w:rsidRPr="001977EE" w:rsidRDefault="00B62489" w:rsidP="003F7B8C">
            <w:pPr>
              <w:spacing w:before="120"/>
              <w:rPr>
                <w:rFonts w:ascii="Arial" w:hAnsi="Arial" w:cs="Arial"/>
                <w:b/>
              </w:rPr>
            </w:pPr>
            <w:r w:rsidRPr="001977EE">
              <w:rPr>
                <w:rFonts w:ascii="Arial" w:hAnsi="Arial" w:cs="Arial"/>
                <w:b/>
              </w:rPr>
              <w:t xml:space="preserve">Information </w:t>
            </w:r>
            <w:r w:rsidR="000C6D33" w:rsidRPr="001977EE">
              <w:rPr>
                <w:rFonts w:ascii="Arial" w:hAnsi="Arial" w:cs="Arial"/>
                <w:b/>
              </w:rPr>
              <w:t>t</w:t>
            </w:r>
            <w:r w:rsidRPr="001977EE">
              <w:rPr>
                <w:rFonts w:ascii="Arial" w:hAnsi="Arial" w:cs="Arial"/>
                <w:b/>
              </w:rPr>
              <w:t>echnology law</w:t>
            </w:r>
          </w:p>
        </w:tc>
        <w:tc>
          <w:tcPr>
            <w:tcW w:w="5670" w:type="dxa"/>
            <w:tcBorders>
              <w:bottom w:val="single" w:sz="4" w:space="0" w:color="auto"/>
            </w:tcBorders>
            <w:shd w:val="clear" w:color="auto" w:fill="auto"/>
          </w:tcPr>
          <w:p w14:paraId="28A87FDF" w14:textId="77777777" w:rsidR="00B62489" w:rsidRPr="001977EE" w:rsidRDefault="00EF70BA" w:rsidP="003F7B8C">
            <w:pPr>
              <w:spacing w:before="120"/>
              <w:rPr>
                <w:rFonts w:ascii="Arial" w:hAnsi="Arial" w:cs="Arial"/>
              </w:rPr>
            </w:pPr>
            <w:r w:rsidRPr="001977EE">
              <w:rPr>
                <w:rFonts w:ascii="Arial" w:hAnsi="Arial" w:cs="Arial"/>
              </w:rPr>
              <w:t>All aspects of i</w:t>
            </w:r>
            <w:r w:rsidR="00B62489" w:rsidRPr="001977EE">
              <w:rPr>
                <w:rFonts w:ascii="Arial" w:hAnsi="Arial" w:cs="Arial"/>
              </w:rPr>
              <w:t xml:space="preserve">nformation </w:t>
            </w:r>
            <w:r w:rsidRPr="001977EE">
              <w:rPr>
                <w:rFonts w:ascii="Arial" w:hAnsi="Arial" w:cs="Arial"/>
              </w:rPr>
              <w:t>t</w:t>
            </w:r>
            <w:r w:rsidR="00B62489" w:rsidRPr="001977EE">
              <w:rPr>
                <w:rFonts w:ascii="Arial" w:hAnsi="Arial" w:cs="Arial"/>
              </w:rPr>
              <w:t xml:space="preserve">echnology law including but not limited to: </w:t>
            </w:r>
          </w:p>
          <w:p w14:paraId="633E6514" w14:textId="77777777" w:rsidR="00C66936" w:rsidRPr="001977EE" w:rsidRDefault="00EF70BA" w:rsidP="002E52E2">
            <w:pPr>
              <w:pStyle w:val="a"/>
              <w:framePr w:hSpace="0" w:wrap="auto" w:vAnchor="margin" w:yAlign="inline"/>
              <w:numPr>
                <w:ilvl w:val="0"/>
                <w:numId w:val="17"/>
              </w:numPr>
              <w:spacing w:before="120"/>
              <w:suppressOverlap w:val="0"/>
            </w:pPr>
            <w:r w:rsidRPr="001977EE">
              <w:t>information technology and telec</w:t>
            </w:r>
            <w:r w:rsidR="00C66936" w:rsidRPr="001977EE">
              <w:t>oms procurement and contracting;</w:t>
            </w:r>
            <w:r w:rsidRPr="001977EE">
              <w:t xml:space="preserve"> </w:t>
            </w:r>
          </w:p>
          <w:p w14:paraId="6BB88CA6" w14:textId="77777777" w:rsidR="00C66936" w:rsidRPr="001977EE" w:rsidRDefault="00C66936" w:rsidP="002E52E2">
            <w:pPr>
              <w:pStyle w:val="a"/>
              <w:framePr w:hSpace="0" w:wrap="auto" w:vAnchor="margin" w:yAlign="inline"/>
              <w:numPr>
                <w:ilvl w:val="0"/>
                <w:numId w:val="17"/>
              </w:numPr>
              <w:spacing w:before="120"/>
              <w:suppressOverlap w:val="0"/>
            </w:pPr>
            <w:r w:rsidRPr="001977EE">
              <w:t>d</w:t>
            </w:r>
            <w:r w:rsidR="00EF70BA" w:rsidRPr="001977EE">
              <w:t>esign, development, ma</w:t>
            </w:r>
            <w:r w:rsidRPr="001977EE">
              <w:t>intenance and support contracts;</w:t>
            </w:r>
            <w:r w:rsidR="00EF70BA" w:rsidRPr="001977EE">
              <w:t xml:space="preserve"> </w:t>
            </w:r>
          </w:p>
          <w:p w14:paraId="21F8BB16" w14:textId="77777777" w:rsidR="00C66936" w:rsidRPr="001977EE" w:rsidRDefault="00C66936" w:rsidP="002E52E2">
            <w:pPr>
              <w:pStyle w:val="a"/>
              <w:framePr w:hSpace="0" w:wrap="auto" w:vAnchor="margin" w:yAlign="inline"/>
              <w:numPr>
                <w:ilvl w:val="0"/>
                <w:numId w:val="17"/>
              </w:numPr>
              <w:spacing w:before="120"/>
              <w:suppressOverlap w:val="0"/>
            </w:pPr>
            <w:r w:rsidRPr="001977EE">
              <w:t>re-structuring of contracts and/or services;</w:t>
            </w:r>
          </w:p>
          <w:p w14:paraId="5E2DFB5B" w14:textId="77777777" w:rsidR="00C66936" w:rsidRPr="001977EE" w:rsidRDefault="00EF70BA" w:rsidP="002E52E2">
            <w:pPr>
              <w:pStyle w:val="a"/>
              <w:framePr w:hSpace="0" w:wrap="auto" w:vAnchor="margin" w:yAlign="inline"/>
              <w:numPr>
                <w:ilvl w:val="0"/>
                <w:numId w:val="17"/>
              </w:numPr>
              <w:spacing w:before="120"/>
              <w:suppressOverlap w:val="0"/>
            </w:pPr>
            <w:r w:rsidRPr="001977EE">
              <w:t>exit and migration/transition</w:t>
            </w:r>
            <w:r w:rsidR="00C66936" w:rsidRPr="001977EE">
              <w:t>; and</w:t>
            </w:r>
            <w:r w:rsidRPr="001977EE">
              <w:t xml:space="preserve"> </w:t>
            </w:r>
          </w:p>
          <w:p w14:paraId="0BCA864A" w14:textId="1C56E6CC" w:rsidR="00B62489" w:rsidRPr="001977EE" w:rsidRDefault="00EF70BA" w:rsidP="002E52E2">
            <w:pPr>
              <w:pStyle w:val="a"/>
              <w:framePr w:hSpace="0" w:wrap="auto" w:vAnchor="margin" w:yAlign="inline"/>
              <w:numPr>
                <w:ilvl w:val="0"/>
                <w:numId w:val="17"/>
              </w:numPr>
              <w:spacing w:before="120"/>
              <w:suppressOverlap w:val="0"/>
            </w:pPr>
            <w:proofErr w:type="gramStart"/>
            <w:r w:rsidRPr="001977EE">
              <w:t>hardware</w:t>
            </w:r>
            <w:proofErr w:type="gramEnd"/>
            <w:r w:rsidRPr="001977EE">
              <w:t xml:space="preserve"> purchasing, software licensing</w:t>
            </w:r>
            <w:r w:rsidR="00C66936" w:rsidRPr="001977EE">
              <w:t xml:space="preserve">, </w:t>
            </w:r>
            <w:r w:rsidRPr="001977EE">
              <w:t>managed services, E-commerce, cloud based services, convergent technologies and the internet.</w:t>
            </w:r>
          </w:p>
        </w:tc>
      </w:tr>
      <w:tr w:rsidR="001977EE" w:rsidRPr="001977EE" w14:paraId="1B94B26D" w14:textId="77777777" w:rsidTr="00C42D38">
        <w:tc>
          <w:tcPr>
            <w:tcW w:w="1276" w:type="dxa"/>
            <w:tcBorders>
              <w:bottom w:val="single" w:sz="4" w:space="0" w:color="auto"/>
            </w:tcBorders>
          </w:tcPr>
          <w:p w14:paraId="3DD6FA22" w14:textId="683D5D33" w:rsidR="00B62489" w:rsidRPr="001977EE" w:rsidRDefault="00D50D58" w:rsidP="00290483">
            <w:pPr>
              <w:spacing w:before="120"/>
              <w:jc w:val="center"/>
              <w:rPr>
                <w:rFonts w:ascii="Arial" w:hAnsi="Arial" w:cs="Arial"/>
              </w:rPr>
            </w:pPr>
            <w:r w:rsidRPr="001977EE">
              <w:rPr>
                <w:rFonts w:ascii="Arial" w:hAnsi="Arial" w:cs="Arial"/>
              </w:rPr>
              <w:t>1</w:t>
            </w:r>
            <w:r w:rsidR="00EC1B20" w:rsidRPr="001977EE">
              <w:rPr>
                <w:rFonts w:ascii="Arial" w:hAnsi="Arial" w:cs="Arial"/>
              </w:rPr>
              <w:t>2</w:t>
            </w:r>
          </w:p>
        </w:tc>
        <w:tc>
          <w:tcPr>
            <w:tcW w:w="2234" w:type="dxa"/>
            <w:tcBorders>
              <w:bottom w:val="single" w:sz="4" w:space="0" w:color="auto"/>
            </w:tcBorders>
          </w:tcPr>
          <w:p w14:paraId="7B46CE14" w14:textId="77777777" w:rsidR="00B62489" w:rsidRPr="001977EE" w:rsidRDefault="00B62489" w:rsidP="003F7B8C">
            <w:pPr>
              <w:spacing w:before="120"/>
              <w:rPr>
                <w:rFonts w:ascii="Arial" w:hAnsi="Arial" w:cs="Arial"/>
                <w:b/>
              </w:rPr>
            </w:pPr>
            <w:r w:rsidRPr="001977EE">
              <w:rPr>
                <w:rFonts w:ascii="Arial" w:hAnsi="Arial" w:cs="Arial"/>
                <w:b/>
              </w:rPr>
              <w:t xml:space="preserve">Intellectual </w:t>
            </w:r>
            <w:r w:rsidR="000C6D33" w:rsidRPr="001977EE">
              <w:rPr>
                <w:rFonts w:ascii="Arial" w:hAnsi="Arial" w:cs="Arial"/>
                <w:b/>
              </w:rPr>
              <w:t>p</w:t>
            </w:r>
            <w:r w:rsidRPr="001977EE">
              <w:rPr>
                <w:rFonts w:ascii="Arial" w:hAnsi="Arial" w:cs="Arial"/>
                <w:b/>
              </w:rPr>
              <w:t>roperty law</w:t>
            </w:r>
          </w:p>
        </w:tc>
        <w:tc>
          <w:tcPr>
            <w:tcW w:w="5670" w:type="dxa"/>
            <w:tcBorders>
              <w:bottom w:val="single" w:sz="4" w:space="0" w:color="auto"/>
            </w:tcBorders>
            <w:shd w:val="clear" w:color="auto" w:fill="auto"/>
          </w:tcPr>
          <w:p w14:paraId="665CCC66" w14:textId="77777777" w:rsidR="00B62489" w:rsidRPr="001977EE" w:rsidRDefault="00C66936" w:rsidP="003F7B8C">
            <w:pPr>
              <w:spacing w:before="120"/>
              <w:rPr>
                <w:rFonts w:ascii="Arial" w:hAnsi="Arial" w:cs="Arial"/>
              </w:rPr>
            </w:pPr>
            <w:r w:rsidRPr="001977EE">
              <w:rPr>
                <w:rFonts w:ascii="Arial" w:hAnsi="Arial" w:cs="Arial"/>
              </w:rPr>
              <w:t>All aspects of i</w:t>
            </w:r>
            <w:r w:rsidR="00B62489" w:rsidRPr="001977EE">
              <w:rPr>
                <w:rFonts w:ascii="Arial" w:hAnsi="Arial" w:cs="Arial"/>
              </w:rPr>
              <w:t xml:space="preserve">ntellectual </w:t>
            </w:r>
            <w:r w:rsidRPr="001977EE">
              <w:rPr>
                <w:rFonts w:ascii="Arial" w:hAnsi="Arial" w:cs="Arial"/>
              </w:rPr>
              <w:t>p</w:t>
            </w:r>
            <w:r w:rsidR="00B62489" w:rsidRPr="001977EE">
              <w:rPr>
                <w:rFonts w:ascii="Arial" w:hAnsi="Arial" w:cs="Arial"/>
              </w:rPr>
              <w:t xml:space="preserve">roperty law including but not limited to: </w:t>
            </w:r>
          </w:p>
          <w:p w14:paraId="111A5E11" w14:textId="77777777" w:rsidR="00C66936" w:rsidRPr="001977EE" w:rsidRDefault="00C66936" w:rsidP="002E52E2">
            <w:pPr>
              <w:pStyle w:val="a"/>
              <w:framePr w:hSpace="0" w:wrap="auto" w:vAnchor="margin" w:yAlign="inline"/>
              <w:numPr>
                <w:ilvl w:val="0"/>
                <w:numId w:val="18"/>
              </w:numPr>
              <w:spacing w:before="120"/>
              <w:suppressOverlap w:val="0"/>
            </w:pPr>
            <w:r w:rsidRPr="001977EE">
              <w:t>contentious and non-contentious support and advice relating to patents, copyright, trademarks, trade secrets and rights in confidential information, database rights, design rights, and other forms of intellectual property; and</w:t>
            </w:r>
          </w:p>
          <w:p w14:paraId="3C261231" w14:textId="4F773B4B" w:rsidR="00B62489" w:rsidRPr="001977EE" w:rsidRDefault="00C66936" w:rsidP="002E52E2">
            <w:pPr>
              <w:pStyle w:val="a"/>
              <w:framePr w:hSpace="0" w:wrap="auto" w:vAnchor="margin" w:yAlign="inline"/>
              <w:numPr>
                <w:ilvl w:val="0"/>
                <w:numId w:val="18"/>
              </w:numPr>
              <w:spacing w:before="120"/>
              <w:suppressOverlap w:val="0"/>
            </w:pPr>
            <w:proofErr w:type="gramStart"/>
            <w:r w:rsidRPr="001977EE">
              <w:t>assignment</w:t>
            </w:r>
            <w:proofErr w:type="gramEnd"/>
            <w:r w:rsidRPr="001977EE">
              <w:t xml:space="preserve"> and licensing of rights and commercialisation and exploitation of intellectual property.  </w:t>
            </w:r>
          </w:p>
        </w:tc>
      </w:tr>
      <w:tr w:rsidR="001977EE" w:rsidRPr="001977EE" w14:paraId="042FF658" w14:textId="77777777" w:rsidTr="00C42D38">
        <w:tc>
          <w:tcPr>
            <w:tcW w:w="1276" w:type="dxa"/>
            <w:tcBorders>
              <w:bottom w:val="single" w:sz="4" w:space="0" w:color="auto"/>
            </w:tcBorders>
          </w:tcPr>
          <w:p w14:paraId="328DC428" w14:textId="152D5AED" w:rsidR="00B62489" w:rsidRPr="001977EE" w:rsidRDefault="00D50D58" w:rsidP="00290483">
            <w:pPr>
              <w:spacing w:before="120"/>
              <w:jc w:val="center"/>
              <w:rPr>
                <w:rFonts w:ascii="Arial" w:hAnsi="Arial" w:cs="Arial"/>
              </w:rPr>
            </w:pPr>
            <w:r w:rsidRPr="001977EE">
              <w:rPr>
                <w:rFonts w:ascii="Arial" w:hAnsi="Arial" w:cs="Arial"/>
              </w:rPr>
              <w:t>1</w:t>
            </w:r>
            <w:r w:rsidR="00EC1B20" w:rsidRPr="001977EE">
              <w:rPr>
                <w:rFonts w:ascii="Arial" w:hAnsi="Arial" w:cs="Arial"/>
              </w:rPr>
              <w:t>3</w:t>
            </w:r>
          </w:p>
        </w:tc>
        <w:tc>
          <w:tcPr>
            <w:tcW w:w="2234" w:type="dxa"/>
            <w:tcBorders>
              <w:bottom w:val="single" w:sz="4" w:space="0" w:color="auto"/>
            </w:tcBorders>
          </w:tcPr>
          <w:p w14:paraId="03AB1418" w14:textId="68D6459B" w:rsidR="00B62489" w:rsidRPr="001977EE" w:rsidRDefault="00B62489" w:rsidP="003C79E9">
            <w:pPr>
              <w:spacing w:before="120"/>
              <w:rPr>
                <w:rFonts w:ascii="Arial" w:hAnsi="Arial" w:cs="Arial"/>
                <w:b/>
              </w:rPr>
            </w:pPr>
            <w:r w:rsidRPr="001977EE">
              <w:rPr>
                <w:rFonts w:ascii="Arial" w:hAnsi="Arial" w:cs="Arial"/>
                <w:b/>
              </w:rPr>
              <w:t xml:space="preserve">Litigation </w:t>
            </w:r>
          </w:p>
        </w:tc>
        <w:tc>
          <w:tcPr>
            <w:tcW w:w="5670" w:type="dxa"/>
            <w:tcBorders>
              <w:bottom w:val="single" w:sz="4" w:space="0" w:color="auto"/>
            </w:tcBorders>
            <w:shd w:val="clear" w:color="auto" w:fill="auto"/>
          </w:tcPr>
          <w:p w14:paraId="552E7CDD" w14:textId="7E63F2E2" w:rsidR="00B62489" w:rsidRPr="001977EE" w:rsidRDefault="007D7E51" w:rsidP="003F7B8C">
            <w:pPr>
              <w:spacing w:before="120"/>
              <w:rPr>
                <w:rFonts w:ascii="Arial" w:hAnsi="Arial" w:cs="Arial"/>
              </w:rPr>
            </w:pPr>
            <w:r w:rsidRPr="001977EE">
              <w:rPr>
                <w:rFonts w:ascii="Arial" w:hAnsi="Arial" w:cs="Arial"/>
              </w:rPr>
              <w:t>All aspects of l</w:t>
            </w:r>
            <w:r w:rsidR="00B62489" w:rsidRPr="001977EE">
              <w:rPr>
                <w:rFonts w:ascii="Arial" w:hAnsi="Arial" w:cs="Arial"/>
              </w:rPr>
              <w:t>itigation including but not limited to:</w:t>
            </w:r>
          </w:p>
          <w:p w14:paraId="73790133" w14:textId="5B69B605" w:rsidR="00B62489" w:rsidRPr="001977EE" w:rsidRDefault="007D7E51" w:rsidP="002E52E2">
            <w:pPr>
              <w:pStyle w:val="a"/>
              <w:framePr w:hSpace="0" w:wrap="auto" w:vAnchor="margin" w:yAlign="inline"/>
              <w:numPr>
                <w:ilvl w:val="0"/>
                <w:numId w:val="19"/>
              </w:numPr>
              <w:spacing w:before="120"/>
              <w:suppressOverlap w:val="0"/>
            </w:pPr>
            <w:r w:rsidRPr="001977EE">
              <w:t xml:space="preserve">civil litigation against and on behalf of Panel </w:t>
            </w:r>
            <w:r w:rsidR="00615170" w:rsidRPr="001977EE">
              <w:t>Customer</w:t>
            </w:r>
            <w:r w:rsidRPr="001977EE">
              <w:t>s including alternative dispute resolution, arbitration, mediation, contractual resolution procedures, advocacy and early advice on disputes</w:t>
            </w:r>
            <w:r w:rsidR="000C6D33" w:rsidRPr="001977EE">
              <w:t>.</w:t>
            </w:r>
          </w:p>
        </w:tc>
      </w:tr>
      <w:tr w:rsidR="001977EE" w:rsidRPr="001977EE" w14:paraId="34264EF0" w14:textId="77777777" w:rsidTr="00C42D38">
        <w:tc>
          <w:tcPr>
            <w:tcW w:w="1276" w:type="dxa"/>
            <w:tcBorders>
              <w:bottom w:val="single" w:sz="4" w:space="0" w:color="auto"/>
            </w:tcBorders>
          </w:tcPr>
          <w:p w14:paraId="3F0A4857" w14:textId="0178C9A4" w:rsidR="00B62489" w:rsidRPr="001977EE" w:rsidRDefault="00D50D58" w:rsidP="00290483">
            <w:pPr>
              <w:spacing w:before="120"/>
              <w:jc w:val="center"/>
              <w:rPr>
                <w:rFonts w:ascii="Arial" w:hAnsi="Arial" w:cs="Arial"/>
              </w:rPr>
            </w:pPr>
            <w:r w:rsidRPr="001977EE">
              <w:rPr>
                <w:rFonts w:ascii="Arial" w:hAnsi="Arial" w:cs="Arial"/>
              </w:rPr>
              <w:lastRenderedPageBreak/>
              <w:t>1</w:t>
            </w:r>
            <w:r w:rsidR="00EC1B20" w:rsidRPr="001977EE">
              <w:rPr>
                <w:rFonts w:ascii="Arial" w:hAnsi="Arial" w:cs="Arial"/>
              </w:rPr>
              <w:t>4</w:t>
            </w:r>
          </w:p>
        </w:tc>
        <w:tc>
          <w:tcPr>
            <w:tcW w:w="2234" w:type="dxa"/>
            <w:tcBorders>
              <w:bottom w:val="single" w:sz="4" w:space="0" w:color="auto"/>
            </w:tcBorders>
          </w:tcPr>
          <w:p w14:paraId="0885F831" w14:textId="77777777" w:rsidR="00B62489" w:rsidRPr="001977EE" w:rsidRDefault="00B62489" w:rsidP="003F7B8C">
            <w:pPr>
              <w:spacing w:before="120"/>
              <w:rPr>
                <w:rFonts w:ascii="Arial" w:hAnsi="Arial" w:cs="Arial"/>
                <w:b/>
              </w:rPr>
            </w:pPr>
            <w:proofErr w:type="spellStart"/>
            <w:r w:rsidRPr="001977EE">
              <w:rPr>
                <w:rFonts w:ascii="Arial" w:hAnsi="Arial" w:cs="Arial"/>
                <w:b/>
              </w:rPr>
              <w:t xml:space="preserve">Non </w:t>
            </w:r>
            <w:r w:rsidR="000C6D33" w:rsidRPr="001977EE">
              <w:rPr>
                <w:rFonts w:ascii="Arial" w:hAnsi="Arial" w:cs="Arial"/>
                <w:b/>
              </w:rPr>
              <w:t>c</w:t>
            </w:r>
            <w:r w:rsidRPr="001977EE">
              <w:rPr>
                <w:rFonts w:ascii="Arial" w:hAnsi="Arial" w:cs="Arial"/>
                <w:b/>
              </w:rPr>
              <w:t>omplex</w:t>
            </w:r>
            <w:proofErr w:type="spellEnd"/>
            <w:r w:rsidRPr="001977EE">
              <w:rPr>
                <w:rFonts w:ascii="Arial" w:hAnsi="Arial" w:cs="Arial"/>
                <w:b/>
              </w:rPr>
              <w:t xml:space="preserve"> </w:t>
            </w:r>
            <w:r w:rsidR="000C6D33" w:rsidRPr="001977EE">
              <w:rPr>
                <w:rFonts w:ascii="Arial" w:hAnsi="Arial" w:cs="Arial"/>
                <w:b/>
              </w:rPr>
              <w:t>f</w:t>
            </w:r>
            <w:r w:rsidRPr="001977EE">
              <w:rPr>
                <w:rFonts w:ascii="Arial" w:hAnsi="Arial" w:cs="Arial"/>
                <w:b/>
              </w:rPr>
              <w:t>inance</w:t>
            </w:r>
            <w:r w:rsidR="000C6D33" w:rsidRPr="001977EE">
              <w:rPr>
                <w:rFonts w:ascii="Arial" w:hAnsi="Arial" w:cs="Arial"/>
                <w:b/>
              </w:rPr>
              <w:t xml:space="preserve"> (determined by reference to</w:t>
            </w:r>
            <w:r w:rsidR="00711818" w:rsidRPr="001977EE">
              <w:rPr>
                <w:rFonts w:ascii="Arial" w:hAnsi="Arial" w:cs="Arial"/>
                <w:b/>
              </w:rPr>
              <w:t xml:space="preserve"> the following factors: value, significance, importance and profile).</w:t>
            </w:r>
          </w:p>
        </w:tc>
        <w:tc>
          <w:tcPr>
            <w:tcW w:w="5670" w:type="dxa"/>
            <w:tcBorders>
              <w:bottom w:val="single" w:sz="4" w:space="0" w:color="auto"/>
            </w:tcBorders>
            <w:shd w:val="clear" w:color="auto" w:fill="auto"/>
          </w:tcPr>
          <w:p w14:paraId="168F2753" w14:textId="77777777" w:rsidR="00B62489" w:rsidRPr="001977EE" w:rsidRDefault="000C6D33" w:rsidP="003F7B8C">
            <w:pPr>
              <w:spacing w:before="120"/>
              <w:rPr>
                <w:rFonts w:ascii="Arial" w:hAnsi="Arial" w:cs="Arial"/>
              </w:rPr>
            </w:pPr>
            <w:r w:rsidRPr="001977EE">
              <w:rPr>
                <w:rFonts w:ascii="Arial" w:hAnsi="Arial" w:cs="Arial"/>
              </w:rPr>
              <w:t xml:space="preserve">All aspects of </w:t>
            </w:r>
            <w:proofErr w:type="spellStart"/>
            <w:r w:rsidRPr="001977EE">
              <w:rPr>
                <w:rFonts w:ascii="Arial" w:hAnsi="Arial" w:cs="Arial"/>
              </w:rPr>
              <w:t>n</w:t>
            </w:r>
            <w:r w:rsidR="00B62489" w:rsidRPr="001977EE">
              <w:rPr>
                <w:rFonts w:ascii="Arial" w:hAnsi="Arial" w:cs="Arial"/>
              </w:rPr>
              <w:t xml:space="preserve">on </w:t>
            </w:r>
            <w:r w:rsidRPr="001977EE">
              <w:rPr>
                <w:rFonts w:ascii="Arial" w:hAnsi="Arial" w:cs="Arial"/>
              </w:rPr>
              <w:t>c</w:t>
            </w:r>
            <w:r w:rsidR="00B62489" w:rsidRPr="001977EE">
              <w:rPr>
                <w:rFonts w:ascii="Arial" w:hAnsi="Arial" w:cs="Arial"/>
              </w:rPr>
              <w:t>omplex</w:t>
            </w:r>
            <w:proofErr w:type="spellEnd"/>
            <w:r w:rsidR="00B62489" w:rsidRPr="001977EE">
              <w:rPr>
                <w:rFonts w:ascii="Arial" w:hAnsi="Arial" w:cs="Arial"/>
              </w:rPr>
              <w:t xml:space="preserve"> </w:t>
            </w:r>
            <w:r w:rsidRPr="001977EE">
              <w:rPr>
                <w:rFonts w:ascii="Arial" w:hAnsi="Arial" w:cs="Arial"/>
              </w:rPr>
              <w:t>f</w:t>
            </w:r>
            <w:r w:rsidR="00B62489" w:rsidRPr="001977EE">
              <w:rPr>
                <w:rFonts w:ascii="Arial" w:hAnsi="Arial" w:cs="Arial"/>
              </w:rPr>
              <w:t>inance</w:t>
            </w:r>
            <w:r w:rsidRPr="001977EE">
              <w:rPr>
                <w:rFonts w:ascii="Arial" w:hAnsi="Arial" w:cs="Arial"/>
              </w:rPr>
              <w:t xml:space="preserve"> matters</w:t>
            </w:r>
            <w:r w:rsidR="00B62489" w:rsidRPr="001977EE">
              <w:rPr>
                <w:rFonts w:ascii="Arial" w:hAnsi="Arial" w:cs="Arial"/>
              </w:rPr>
              <w:t xml:space="preserve"> including but not limited to:</w:t>
            </w:r>
          </w:p>
          <w:p w14:paraId="311600B8" w14:textId="52F6310E" w:rsidR="00B62489" w:rsidRPr="001977EE" w:rsidRDefault="000C6D33" w:rsidP="002E52E2">
            <w:pPr>
              <w:pStyle w:val="a"/>
              <w:framePr w:hSpace="0" w:wrap="auto" w:vAnchor="margin" w:yAlign="inline"/>
              <w:numPr>
                <w:ilvl w:val="0"/>
                <w:numId w:val="20"/>
              </w:numPr>
              <w:spacing w:before="120"/>
              <w:suppressOverlap w:val="0"/>
            </w:pPr>
            <w:proofErr w:type="gramStart"/>
            <w:r w:rsidRPr="001977EE">
              <w:rPr>
                <w:rStyle w:val="aChar"/>
              </w:rPr>
              <w:t>advising</w:t>
            </w:r>
            <w:proofErr w:type="gramEnd"/>
            <w:r w:rsidRPr="001977EE">
              <w:rPr>
                <w:rStyle w:val="aChar"/>
              </w:rPr>
              <w:t xml:space="preserve"> on general banking matters (domestic and overseas, including loan agreements, guarantees and security arrangements), trade finance and financial</w:t>
            </w:r>
            <w:r w:rsidRPr="001977EE">
              <w:t xml:space="preserve"> litigation.</w:t>
            </w:r>
          </w:p>
        </w:tc>
      </w:tr>
      <w:tr w:rsidR="001977EE" w:rsidRPr="001977EE" w14:paraId="079ED805" w14:textId="77777777" w:rsidTr="00C42D38">
        <w:tc>
          <w:tcPr>
            <w:tcW w:w="1276" w:type="dxa"/>
            <w:tcBorders>
              <w:bottom w:val="single" w:sz="4" w:space="0" w:color="auto"/>
            </w:tcBorders>
          </w:tcPr>
          <w:p w14:paraId="3CAF1A97" w14:textId="11DC5AAB" w:rsidR="00B62489" w:rsidRPr="001977EE" w:rsidRDefault="00D50D58" w:rsidP="00290483">
            <w:pPr>
              <w:spacing w:before="120"/>
              <w:jc w:val="center"/>
              <w:rPr>
                <w:rFonts w:ascii="Arial" w:hAnsi="Arial" w:cs="Arial"/>
              </w:rPr>
            </w:pPr>
            <w:r w:rsidRPr="001977EE">
              <w:rPr>
                <w:rFonts w:ascii="Arial" w:hAnsi="Arial" w:cs="Arial"/>
              </w:rPr>
              <w:t>1</w:t>
            </w:r>
            <w:r w:rsidR="00EC1B20" w:rsidRPr="001977EE">
              <w:rPr>
                <w:rFonts w:ascii="Arial" w:hAnsi="Arial" w:cs="Arial"/>
              </w:rPr>
              <w:t>5</w:t>
            </w:r>
          </w:p>
        </w:tc>
        <w:tc>
          <w:tcPr>
            <w:tcW w:w="2234" w:type="dxa"/>
            <w:tcBorders>
              <w:bottom w:val="single" w:sz="4" w:space="0" w:color="auto"/>
            </w:tcBorders>
          </w:tcPr>
          <w:p w14:paraId="249BDEAF" w14:textId="77777777" w:rsidR="00B62489" w:rsidRPr="001977EE" w:rsidRDefault="00B62489" w:rsidP="003F7B8C">
            <w:pPr>
              <w:spacing w:before="120"/>
              <w:rPr>
                <w:rFonts w:ascii="Arial" w:hAnsi="Arial" w:cs="Arial"/>
                <w:b/>
              </w:rPr>
            </w:pPr>
            <w:r w:rsidRPr="001977EE">
              <w:rPr>
                <w:rFonts w:ascii="Arial" w:hAnsi="Arial" w:cs="Arial"/>
                <w:b/>
              </w:rPr>
              <w:t>Outsourcing</w:t>
            </w:r>
          </w:p>
        </w:tc>
        <w:tc>
          <w:tcPr>
            <w:tcW w:w="5670" w:type="dxa"/>
            <w:tcBorders>
              <w:bottom w:val="single" w:sz="4" w:space="0" w:color="auto"/>
            </w:tcBorders>
            <w:shd w:val="clear" w:color="auto" w:fill="auto"/>
          </w:tcPr>
          <w:p w14:paraId="0ABAB286" w14:textId="77777777" w:rsidR="00B62489" w:rsidRPr="001977EE" w:rsidRDefault="00711818" w:rsidP="003F7B8C">
            <w:pPr>
              <w:spacing w:before="120"/>
              <w:rPr>
                <w:rFonts w:ascii="Arial" w:hAnsi="Arial" w:cs="Arial"/>
              </w:rPr>
            </w:pPr>
            <w:r w:rsidRPr="001977EE">
              <w:rPr>
                <w:rFonts w:ascii="Arial" w:hAnsi="Arial" w:cs="Arial"/>
              </w:rPr>
              <w:t>All aspects of o</w:t>
            </w:r>
            <w:r w:rsidR="00B62489" w:rsidRPr="001977EE">
              <w:rPr>
                <w:rFonts w:ascii="Arial" w:hAnsi="Arial" w:cs="Arial"/>
              </w:rPr>
              <w:t xml:space="preserve">utsourcing </w:t>
            </w:r>
            <w:r w:rsidRPr="001977EE">
              <w:rPr>
                <w:rFonts w:ascii="Arial" w:hAnsi="Arial" w:cs="Arial"/>
              </w:rPr>
              <w:t xml:space="preserve">arrangements, including </w:t>
            </w:r>
            <w:r w:rsidR="00B62489" w:rsidRPr="001977EE">
              <w:rPr>
                <w:rFonts w:ascii="Arial" w:hAnsi="Arial" w:cs="Arial"/>
              </w:rPr>
              <w:t xml:space="preserve">but not limited to: </w:t>
            </w:r>
          </w:p>
          <w:p w14:paraId="641B5528" w14:textId="2C41A50D" w:rsidR="00B62489" w:rsidRPr="001977EE" w:rsidRDefault="00711818" w:rsidP="002E52E2">
            <w:pPr>
              <w:pStyle w:val="a"/>
              <w:framePr w:hSpace="0" w:wrap="auto" w:vAnchor="margin" w:yAlign="inline"/>
              <w:numPr>
                <w:ilvl w:val="0"/>
                <w:numId w:val="21"/>
              </w:numPr>
              <w:spacing w:before="120"/>
              <w:suppressOverlap w:val="0"/>
            </w:pPr>
            <w:proofErr w:type="gramStart"/>
            <w:r w:rsidRPr="001977EE">
              <w:t>first</w:t>
            </w:r>
            <w:proofErr w:type="gramEnd"/>
            <w:r w:rsidRPr="001977EE">
              <w:t xml:space="preserve"> and subsequent generation and insourcing, (including information technology outsourcing and business process outsourcing).</w:t>
            </w:r>
          </w:p>
        </w:tc>
      </w:tr>
      <w:tr w:rsidR="001977EE" w:rsidRPr="001977EE" w14:paraId="0E10B1D9" w14:textId="77777777" w:rsidTr="00C42D38">
        <w:tc>
          <w:tcPr>
            <w:tcW w:w="1276" w:type="dxa"/>
            <w:tcBorders>
              <w:bottom w:val="single" w:sz="4" w:space="0" w:color="auto"/>
            </w:tcBorders>
          </w:tcPr>
          <w:p w14:paraId="73D1EE49" w14:textId="4D8F0D8A" w:rsidR="00B62489" w:rsidRPr="001977EE" w:rsidRDefault="00D50D58" w:rsidP="00290483">
            <w:pPr>
              <w:spacing w:before="120"/>
              <w:jc w:val="center"/>
              <w:rPr>
                <w:rFonts w:ascii="Arial" w:hAnsi="Arial" w:cs="Arial"/>
              </w:rPr>
            </w:pPr>
            <w:r w:rsidRPr="001977EE">
              <w:rPr>
                <w:rFonts w:ascii="Arial" w:hAnsi="Arial" w:cs="Arial"/>
              </w:rPr>
              <w:t>1</w:t>
            </w:r>
            <w:r w:rsidR="00EC1B20" w:rsidRPr="001977EE">
              <w:rPr>
                <w:rFonts w:ascii="Arial" w:hAnsi="Arial" w:cs="Arial"/>
              </w:rPr>
              <w:t>6</w:t>
            </w:r>
          </w:p>
        </w:tc>
        <w:tc>
          <w:tcPr>
            <w:tcW w:w="2234" w:type="dxa"/>
            <w:tcBorders>
              <w:bottom w:val="single" w:sz="4" w:space="0" w:color="auto"/>
            </w:tcBorders>
          </w:tcPr>
          <w:p w14:paraId="57AF68BE" w14:textId="77777777" w:rsidR="00B62489" w:rsidRPr="001977EE" w:rsidRDefault="00B62489" w:rsidP="003F7B8C">
            <w:pPr>
              <w:spacing w:before="120"/>
              <w:rPr>
                <w:rFonts w:ascii="Arial" w:hAnsi="Arial" w:cs="Arial"/>
                <w:b/>
              </w:rPr>
            </w:pPr>
            <w:r w:rsidRPr="001977EE">
              <w:rPr>
                <w:rFonts w:ascii="Arial" w:hAnsi="Arial" w:cs="Arial"/>
                <w:b/>
              </w:rPr>
              <w:t>Partnership law</w:t>
            </w:r>
          </w:p>
        </w:tc>
        <w:tc>
          <w:tcPr>
            <w:tcW w:w="5670" w:type="dxa"/>
            <w:tcBorders>
              <w:bottom w:val="single" w:sz="4" w:space="0" w:color="auto"/>
            </w:tcBorders>
            <w:shd w:val="clear" w:color="auto" w:fill="auto"/>
          </w:tcPr>
          <w:p w14:paraId="7F523589" w14:textId="77777777" w:rsidR="00B62489" w:rsidRPr="001977EE" w:rsidRDefault="00711818" w:rsidP="003F7B8C">
            <w:pPr>
              <w:spacing w:before="120"/>
              <w:rPr>
                <w:rFonts w:ascii="Arial" w:hAnsi="Arial" w:cs="Arial"/>
              </w:rPr>
            </w:pPr>
            <w:r w:rsidRPr="001977EE">
              <w:rPr>
                <w:rFonts w:ascii="Arial" w:hAnsi="Arial" w:cs="Arial"/>
              </w:rPr>
              <w:t>All aspects of p</w:t>
            </w:r>
            <w:r w:rsidR="00B62489" w:rsidRPr="001977EE">
              <w:rPr>
                <w:rFonts w:ascii="Arial" w:hAnsi="Arial" w:cs="Arial"/>
              </w:rPr>
              <w:t xml:space="preserve">artnership law including but not limited to: </w:t>
            </w:r>
          </w:p>
          <w:p w14:paraId="20EF0E9F" w14:textId="28592CA9" w:rsidR="00B62489" w:rsidRPr="001977EE" w:rsidRDefault="00711818" w:rsidP="002E52E2">
            <w:pPr>
              <w:pStyle w:val="a"/>
              <w:framePr w:hSpace="0" w:wrap="auto" w:vAnchor="margin" w:yAlign="inline"/>
              <w:numPr>
                <w:ilvl w:val="0"/>
                <w:numId w:val="22"/>
              </w:numPr>
              <w:spacing w:before="120"/>
              <w:suppressOverlap w:val="0"/>
            </w:pPr>
            <w:proofErr w:type="gramStart"/>
            <w:r w:rsidRPr="001977EE">
              <w:t>contentious</w:t>
            </w:r>
            <w:proofErr w:type="gramEnd"/>
            <w:r w:rsidRPr="001977EE">
              <w:t xml:space="preserve"> and non-contentious partnership matters.</w:t>
            </w:r>
          </w:p>
        </w:tc>
      </w:tr>
      <w:tr w:rsidR="001977EE" w:rsidRPr="001977EE" w14:paraId="0428FA32" w14:textId="77777777" w:rsidTr="00C42D38">
        <w:tc>
          <w:tcPr>
            <w:tcW w:w="1276" w:type="dxa"/>
            <w:tcBorders>
              <w:bottom w:val="single" w:sz="4" w:space="0" w:color="auto"/>
            </w:tcBorders>
          </w:tcPr>
          <w:p w14:paraId="31837B45" w14:textId="04074E0D" w:rsidR="00B62489" w:rsidRPr="001977EE" w:rsidRDefault="00D50D58" w:rsidP="00290483">
            <w:pPr>
              <w:spacing w:before="120"/>
              <w:jc w:val="center"/>
              <w:rPr>
                <w:rFonts w:ascii="Arial" w:hAnsi="Arial" w:cs="Arial"/>
              </w:rPr>
            </w:pPr>
            <w:r w:rsidRPr="001977EE">
              <w:rPr>
                <w:rFonts w:ascii="Arial" w:hAnsi="Arial" w:cs="Arial"/>
              </w:rPr>
              <w:t>1</w:t>
            </w:r>
            <w:r w:rsidR="00EC1B20" w:rsidRPr="001977EE">
              <w:rPr>
                <w:rFonts w:ascii="Arial" w:hAnsi="Arial" w:cs="Arial"/>
              </w:rPr>
              <w:t>7</w:t>
            </w:r>
          </w:p>
        </w:tc>
        <w:tc>
          <w:tcPr>
            <w:tcW w:w="2234" w:type="dxa"/>
            <w:tcBorders>
              <w:bottom w:val="single" w:sz="4" w:space="0" w:color="auto"/>
            </w:tcBorders>
          </w:tcPr>
          <w:p w14:paraId="1C1CCAB4" w14:textId="77777777" w:rsidR="00B62489" w:rsidRPr="001977EE" w:rsidRDefault="00B62489" w:rsidP="003F7B8C">
            <w:pPr>
              <w:spacing w:before="120"/>
              <w:rPr>
                <w:rFonts w:ascii="Arial" w:hAnsi="Arial" w:cs="Arial"/>
                <w:b/>
              </w:rPr>
            </w:pPr>
            <w:r w:rsidRPr="001977EE">
              <w:rPr>
                <w:rFonts w:ascii="Arial" w:hAnsi="Arial" w:cs="Arial"/>
                <w:b/>
              </w:rPr>
              <w:t>Pensions law</w:t>
            </w:r>
          </w:p>
        </w:tc>
        <w:tc>
          <w:tcPr>
            <w:tcW w:w="5670" w:type="dxa"/>
            <w:tcBorders>
              <w:bottom w:val="single" w:sz="4" w:space="0" w:color="auto"/>
            </w:tcBorders>
            <w:shd w:val="clear" w:color="auto" w:fill="auto"/>
          </w:tcPr>
          <w:p w14:paraId="17991D8E" w14:textId="77777777" w:rsidR="00B62489" w:rsidRPr="001977EE" w:rsidRDefault="002808ED" w:rsidP="003F7B8C">
            <w:pPr>
              <w:spacing w:before="120"/>
              <w:rPr>
                <w:rFonts w:ascii="Arial" w:hAnsi="Arial" w:cs="Arial"/>
              </w:rPr>
            </w:pPr>
            <w:r w:rsidRPr="001977EE">
              <w:rPr>
                <w:rFonts w:ascii="Arial" w:hAnsi="Arial" w:cs="Arial"/>
              </w:rPr>
              <w:t>All aspects of p</w:t>
            </w:r>
            <w:r w:rsidR="00B62489" w:rsidRPr="001977EE">
              <w:rPr>
                <w:rFonts w:ascii="Arial" w:hAnsi="Arial" w:cs="Arial"/>
              </w:rPr>
              <w:t xml:space="preserve">ensions law including but not limited to: </w:t>
            </w:r>
          </w:p>
          <w:p w14:paraId="680F92F8" w14:textId="77777777" w:rsidR="002808ED" w:rsidRPr="001977EE" w:rsidRDefault="002808ED" w:rsidP="002E52E2">
            <w:pPr>
              <w:pStyle w:val="a"/>
              <w:framePr w:hSpace="0" w:wrap="auto" w:vAnchor="margin" w:yAlign="inline"/>
              <w:numPr>
                <w:ilvl w:val="0"/>
                <w:numId w:val="35"/>
              </w:numPr>
              <w:spacing w:before="120"/>
              <w:suppressOverlap w:val="0"/>
            </w:pPr>
            <w:r w:rsidRPr="001977EE">
              <w:t xml:space="preserve">private and public sector pension schemes; </w:t>
            </w:r>
          </w:p>
          <w:p w14:paraId="388631C0" w14:textId="77777777" w:rsidR="002808ED" w:rsidRPr="001977EE" w:rsidRDefault="002808ED" w:rsidP="003F7B8C">
            <w:pPr>
              <w:pStyle w:val="a"/>
              <w:framePr w:hSpace="0" w:wrap="auto" w:vAnchor="margin" w:yAlign="inline"/>
              <w:spacing w:before="120"/>
              <w:suppressOverlap w:val="0"/>
            </w:pPr>
            <w:r w:rsidRPr="001977EE">
              <w:t xml:space="preserve">the Civil Service Pension Scheme; and </w:t>
            </w:r>
          </w:p>
          <w:p w14:paraId="2729A844" w14:textId="001304BF" w:rsidR="00B62489" w:rsidRPr="001977EE" w:rsidRDefault="002808ED" w:rsidP="003F7B8C">
            <w:pPr>
              <w:pStyle w:val="a"/>
              <w:framePr w:hSpace="0" w:wrap="auto" w:vAnchor="margin" w:yAlign="inline"/>
              <w:spacing w:before="120"/>
              <w:suppressOverlap w:val="0"/>
            </w:pPr>
            <w:proofErr w:type="gramStart"/>
            <w:r w:rsidRPr="001977EE">
              <w:t>associated</w:t>
            </w:r>
            <w:proofErr w:type="gramEnd"/>
            <w:r w:rsidRPr="001977EE">
              <w:t xml:space="preserve"> policies and guidance such as Fair Deal and New Fair Deal (or any replacements thereof).</w:t>
            </w:r>
          </w:p>
        </w:tc>
      </w:tr>
      <w:tr w:rsidR="001977EE" w:rsidRPr="001977EE" w14:paraId="24829802" w14:textId="77777777" w:rsidTr="00C42D38">
        <w:tc>
          <w:tcPr>
            <w:tcW w:w="1276" w:type="dxa"/>
            <w:tcBorders>
              <w:bottom w:val="single" w:sz="4" w:space="0" w:color="auto"/>
            </w:tcBorders>
          </w:tcPr>
          <w:p w14:paraId="3312FA33" w14:textId="2749FB87" w:rsidR="00B62489" w:rsidRPr="001977EE" w:rsidRDefault="00D50D58" w:rsidP="00290483">
            <w:pPr>
              <w:spacing w:before="120"/>
              <w:jc w:val="center"/>
              <w:rPr>
                <w:rFonts w:ascii="Arial" w:hAnsi="Arial" w:cs="Arial"/>
              </w:rPr>
            </w:pPr>
            <w:r w:rsidRPr="001977EE">
              <w:rPr>
                <w:rFonts w:ascii="Arial" w:hAnsi="Arial" w:cs="Arial"/>
              </w:rPr>
              <w:t>1</w:t>
            </w:r>
            <w:r w:rsidR="00EC1B20" w:rsidRPr="001977EE">
              <w:rPr>
                <w:rFonts w:ascii="Arial" w:hAnsi="Arial" w:cs="Arial"/>
              </w:rPr>
              <w:t>8</w:t>
            </w:r>
          </w:p>
        </w:tc>
        <w:tc>
          <w:tcPr>
            <w:tcW w:w="2234" w:type="dxa"/>
            <w:tcBorders>
              <w:bottom w:val="single" w:sz="4" w:space="0" w:color="auto"/>
            </w:tcBorders>
          </w:tcPr>
          <w:p w14:paraId="7A154C8B" w14:textId="77777777" w:rsidR="00B62489" w:rsidRPr="001977EE" w:rsidRDefault="00B62489" w:rsidP="003F7B8C">
            <w:pPr>
              <w:spacing w:before="120"/>
              <w:rPr>
                <w:rFonts w:ascii="Arial" w:hAnsi="Arial" w:cs="Arial"/>
                <w:b/>
              </w:rPr>
            </w:pPr>
            <w:r w:rsidRPr="001977EE">
              <w:rPr>
                <w:rFonts w:ascii="Arial" w:hAnsi="Arial" w:cs="Arial"/>
                <w:b/>
              </w:rPr>
              <w:t>Planning law</w:t>
            </w:r>
          </w:p>
        </w:tc>
        <w:tc>
          <w:tcPr>
            <w:tcW w:w="5670" w:type="dxa"/>
            <w:tcBorders>
              <w:bottom w:val="single" w:sz="4" w:space="0" w:color="auto"/>
            </w:tcBorders>
            <w:shd w:val="clear" w:color="auto" w:fill="auto"/>
          </w:tcPr>
          <w:p w14:paraId="1E265E6B" w14:textId="77777777" w:rsidR="00B62489" w:rsidRPr="001977EE" w:rsidRDefault="002808ED" w:rsidP="003F7B8C">
            <w:pPr>
              <w:spacing w:before="120"/>
              <w:rPr>
                <w:rFonts w:ascii="Arial" w:hAnsi="Arial" w:cs="Arial"/>
              </w:rPr>
            </w:pPr>
            <w:r w:rsidRPr="001977EE">
              <w:rPr>
                <w:rFonts w:ascii="Arial" w:hAnsi="Arial" w:cs="Arial"/>
              </w:rPr>
              <w:t>All aspects of p</w:t>
            </w:r>
            <w:r w:rsidR="00B62489" w:rsidRPr="001977EE">
              <w:rPr>
                <w:rFonts w:ascii="Arial" w:hAnsi="Arial" w:cs="Arial"/>
              </w:rPr>
              <w:t xml:space="preserve">lanning law including but not limited to: </w:t>
            </w:r>
          </w:p>
          <w:p w14:paraId="4100F454" w14:textId="77777777" w:rsidR="002808ED" w:rsidRPr="001977EE" w:rsidRDefault="002808ED" w:rsidP="002E52E2">
            <w:pPr>
              <w:pStyle w:val="a"/>
              <w:framePr w:hSpace="0" w:wrap="auto" w:vAnchor="margin" w:yAlign="inline"/>
              <w:numPr>
                <w:ilvl w:val="0"/>
                <w:numId w:val="23"/>
              </w:numPr>
              <w:spacing w:before="120"/>
              <w:suppressOverlap w:val="0"/>
            </w:pPr>
            <w:r w:rsidRPr="001977EE">
              <w:t xml:space="preserve">planning strategy; </w:t>
            </w:r>
          </w:p>
          <w:p w14:paraId="5CAA22F7" w14:textId="77777777" w:rsidR="002808ED" w:rsidRPr="001977EE" w:rsidRDefault="002808ED" w:rsidP="002E52E2">
            <w:pPr>
              <w:pStyle w:val="a"/>
              <w:framePr w:hSpace="0" w:wrap="auto" w:vAnchor="margin" w:yAlign="inline"/>
              <w:numPr>
                <w:ilvl w:val="0"/>
                <w:numId w:val="23"/>
              </w:numPr>
              <w:spacing w:before="120"/>
              <w:suppressOverlap w:val="0"/>
            </w:pPr>
            <w:r w:rsidRPr="001977EE">
              <w:t xml:space="preserve">development projects and schemes;  </w:t>
            </w:r>
          </w:p>
          <w:p w14:paraId="060C3F84" w14:textId="77777777" w:rsidR="002808ED" w:rsidRPr="001977EE" w:rsidRDefault="002808ED" w:rsidP="002E52E2">
            <w:pPr>
              <w:pStyle w:val="a"/>
              <w:framePr w:hSpace="0" w:wrap="auto" w:vAnchor="margin" w:yAlign="inline"/>
              <w:numPr>
                <w:ilvl w:val="0"/>
                <w:numId w:val="23"/>
              </w:numPr>
              <w:spacing w:before="120"/>
              <w:suppressOverlap w:val="0"/>
            </w:pPr>
            <w:r w:rsidRPr="001977EE">
              <w:t>applications for development, construction and change of use;</w:t>
            </w:r>
          </w:p>
          <w:p w14:paraId="1EED6001" w14:textId="77777777" w:rsidR="002808ED" w:rsidRPr="001977EE" w:rsidRDefault="002808ED" w:rsidP="002E52E2">
            <w:pPr>
              <w:pStyle w:val="a"/>
              <w:framePr w:hSpace="0" w:wrap="auto" w:vAnchor="margin" w:yAlign="inline"/>
              <w:numPr>
                <w:ilvl w:val="0"/>
                <w:numId w:val="23"/>
              </w:numPr>
              <w:spacing w:before="120"/>
              <w:suppressOverlap w:val="0"/>
            </w:pPr>
            <w:r w:rsidRPr="001977EE">
              <w:t xml:space="preserve">compulsory purchase orders and s106 agreements; and </w:t>
            </w:r>
          </w:p>
          <w:p w14:paraId="02C396F3" w14:textId="5ED07509" w:rsidR="00B62489" w:rsidRPr="001977EE" w:rsidRDefault="002808ED" w:rsidP="002E52E2">
            <w:pPr>
              <w:pStyle w:val="a"/>
              <w:framePr w:hSpace="0" w:wrap="auto" w:vAnchor="margin" w:yAlign="inline"/>
              <w:numPr>
                <w:ilvl w:val="0"/>
                <w:numId w:val="23"/>
              </w:numPr>
              <w:spacing w:before="120"/>
              <w:suppressOverlap w:val="0"/>
            </w:pPr>
            <w:proofErr w:type="gramStart"/>
            <w:r w:rsidRPr="001977EE">
              <w:t>planning/</w:t>
            </w:r>
            <w:proofErr w:type="gramEnd"/>
            <w:r w:rsidRPr="001977EE">
              <w:t>development inquiries and appeals.</w:t>
            </w:r>
          </w:p>
        </w:tc>
      </w:tr>
      <w:tr w:rsidR="001977EE" w:rsidRPr="001977EE" w14:paraId="19C9F95D" w14:textId="77777777" w:rsidTr="00C42D38">
        <w:tc>
          <w:tcPr>
            <w:tcW w:w="1276" w:type="dxa"/>
            <w:tcBorders>
              <w:bottom w:val="single" w:sz="4" w:space="0" w:color="auto"/>
            </w:tcBorders>
          </w:tcPr>
          <w:p w14:paraId="410E5341" w14:textId="5C43235D" w:rsidR="00B62489" w:rsidRPr="001977EE" w:rsidRDefault="00290483" w:rsidP="003F7B8C">
            <w:pPr>
              <w:spacing w:before="120"/>
              <w:jc w:val="center"/>
              <w:rPr>
                <w:rFonts w:ascii="Arial" w:hAnsi="Arial" w:cs="Arial"/>
              </w:rPr>
            </w:pPr>
            <w:r w:rsidRPr="001977EE">
              <w:rPr>
                <w:rFonts w:ascii="Arial" w:hAnsi="Arial" w:cs="Arial"/>
              </w:rPr>
              <w:t>1</w:t>
            </w:r>
            <w:r w:rsidR="00EC1B20" w:rsidRPr="001977EE">
              <w:rPr>
                <w:rFonts w:ascii="Arial" w:hAnsi="Arial" w:cs="Arial"/>
              </w:rPr>
              <w:t>9</w:t>
            </w:r>
          </w:p>
        </w:tc>
        <w:tc>
          <w:tcPr>
            <w:tcW w:w="2234" w:type="dxa"/>
            <w:tcBorders>
              <w:bottom w:val="single" w:sz="4" w:space="0" w:color="auto"/>
            </w:tcBorders>
          </w:tcPr>
          <w:p w14:paraId="5D9CBCE1" w14:textId="77777777" w:rsidR="00B62489" w:rsidRPr="001977EE" w:rsidRDefault="00B62489" w:rsidP="003F7B8C">
            <w:pPr>
              <w:spacing w:before="120"/>
              <w:rPr>
                <w:rFonts w:ascii="Arial" w:hAnsi="Arial" w:cs="Arial"/>
                <w:b/>
              </w:rPr>
            </w:pPr>
            <w:r w:rsidRPr="001977EE">
              <w:rPr>
                <w:rFonts w:ascii="Arial" w:hAnsi="Arial" w:cs="Arial"/>
                <w:b/>
              </w:rPr>
              <w:t>Projects</w:t>
            </w:r>
            <w:r w:rsidR="00EC7C2F" w:rsidRPr="001977EE">
              <w:rPr>
                <w:rFonts w:ascii="Arial" w:hAnsi="Arial" w:cs="Arial"/>
                <w:b/>
              </w:rPr>
              <w:t>/PFI/PPP</w:t>
            </w:r>
          </w:p>
        </w:tc>
        <w:tc>
          <w:tcPr>
            <w:tcW w:w="5670" w:type="dxa"/>
            <w:tcBorders>
              <w:bottom w:val="single" w:sz="4" w:space="0" w:color="auto"/>
            </w:tcBorders>
            <w:shd w:val="clear" w:color="auto" w:fill="auto"/>
          </w:tcPr>
          <w:p w14:paraId="6106DC87" w14:textId="77777777" w:rsidR="00B62489" w:rsidRPr="001977EE" w:rsidRDefault="0075115D" w:rsidP="003F7B8C">
            <w:pPr>
              <w:spacing w:before="120"/>
              <w:rPr>
                <w:rFonts w:ascii="Arial" w:hAnsi="Arial" w:cs="Arial"/>
              </w:rPr>
            </w:pPr>
            <w:r w:rsidRPr="001977EE">
              <w:rPr>
                <w:rFonts w:ascii="Arial" w:hAnsi="Arial" w:cs="Arial"/>
              </w:rPr>
              <w:t>P</w:t>
            </w:r>
            <w:r w:rsidR="00B62489" w:rsidRPr="001977EE">
              <w:rPr>
                <w:rFonts w:ascii="Arial" w:hAnsi="Arial" w:cs="Arial"/>
              </w:rPr>
              <w:t xml:space="preserve">rojects including but not limited to: </w:t>
            </w:r>
          </w:p>
          <w:p w14:paraId="5F470A3F" w14:textId="42C6CF25" w:rsidR="0075115D" w:rsidRPr="001977EE" w:rsidRDefault="0075115D" w:rsidP="002E52E2">
            <w:pPr>
              <w:pStyle w:val="a"/>
              <w:framePr w:hSpace="0" w:wrap="auto" w:vAnchor="margin" w:yAlign="inline"/>
              <w:numPr>
                <w:ilvl w:val="0"/>
                <w:numId w:val="24"/>
              </w:numPr>
              <w:spacing w:before="120"/>
              <w:suppressOverlap w:val="0"/>
            </w:pPr>
            <w:r w:rsidRPr="001977EE">
              <w:t xml:space="preserve">co-ordinated end to end legal services from any of the categories set out in this Appendix 2 (Mandatory </w:t>
            </w:r>
            <w:r w:rsidR="004C792E" w:rsidRPr="001977EE">
              <w:t>Specialisms</w:t>
            </w:r>
            <w:r w:rsidRPr="001977EE">
              <w:t xml:space="preserve">); and </w:t>
            </w:r>
          </w:p>
          <w:p w14:paraId="7B3ACCA6" w14:textId="0EA6AFEE" w:rsidR="0075115D" w:rsidRPr="001977EE" w:rsidRDefault="0075115D" w:rsidP="002E52E2">
            <w:pPr>
              <w:pStyle w:val="a"/>
              <w:framePr w:hSpace="0" w:wrap="auto" w:vAnchor="margin" w:yAlign="inline"/>
              <w:numPr>
                <w:ilvl w:val="0"/>
                <w:numId w:val="24"/>
              </w:numPr>
              <w:spacing w:before="120"/>
              <w:suppressOverlap w:val="0"/>
            </w:pPr>
            <w:proofErr w:type="gramStart"/>
            <w:r w:rsidRPr="001977EE">
              <w:lastRenderedPageBreak/>
              <w:t>sector</w:t>
            </w:r>
            <w:proofErr w:type="gramEnd"/>
            <w:r w:rsidRPr="001977EE">
              <w:t xml:space="preserve"> specialist advice (if provided) to support projects, including PFI and PPP and appropriate project management of legal contribution.</w:t>
            </w:r>
          </w:p>
        </w:tc>
      </w:tr>
      <w:tr w:rsidR="001977EE" w:rsidRPr="001977EE" w14:paraId="09F06375" w14:textId="77777777" w:rsidTr="00C42D38">
        <w:tc>
          <w:tcPr>
            <w:tcW w:w="1276" w:type="dxa"/>
            <w:tcBorders>
              <w:bottom w:val="single" w:sz="4" w:space="0" w:color="auto"/>
            </w:tcBorders>
          </w:tcPr>
          <w:p w14:paraId="74701E67" w14:textId="16B07EE7" w:rsidR="00B62489" w:rsidRPr="001977EE" w:rsidRDefault="00EC1B20" w:rsidP="003F7B8C">
            <w:pPr>
              <w:spacing w:before="120"/>
              <w:jc w:val="center"/>
              <w:rPr>
                <w:rFonts w:ascii="Arial" w:hAnsi="Arial" w:cs="Arial"/>
              </w:rPr>
            </w:pPr>
            <w:r w:rsidRPr="001977EE">
              <w:rPr>
                <w:rFonts w:ascii="Arial" w:hAnsi="Arial" w:cs="Arial"/>
              </w:rPr>
              <w:lastRenderedPageBreak/>
              <w:t>20</w:t>
            </w:r>
          </w:p>
        </w:tc>
        <w:tc>
          <w:tcPr>
            <w:tcW w:w="2234" w:type="dxa"/>
            <w:tcBorders>
              <w:bottom w:val="single" w:sz="4" w:space="0" w:color="auto"/>
            </w:tcBorders>
          </w:tcPr>
          <w:p w14:paraId="0C4B4969" w14:textId="77777777" w:rsidR="00B62489" w:rsidRPr="001977EE" w:rsidRDefault="00B62489" w:rsidP="003F7B8C">
            <w:pPr>
              <w:spacing w:before="120"/>
              <w:rPr>
                <w:rFonts w:ascii="Arial" w:hAnsi="Arial" w:cs="Arial"/>
                <w:b/>
              </w:rPr>
            </w:pPr>
            <w:r w:rsidRPr="001977EE">
              <w:rPr>
                <w:rFonts w:ascii="Arial" w:hAnsi="Arial" w:cs="Arial"/>
                <w:b/>
              </w:rPr>
              <w:t xml:space="preserve">Public </w:t>
            </w:r>
            <w:r w:rsidR="0075115D" w:rsidRPr="001977EE">
              <w:rPr>
                <w:rFonts w:ascii="Arial" w:hAnsi="Arial" w:cs="Arial"/>
                <w:b/>
              </w:rPr>
              <w:t>p</w:t>
            </w:r>
            <w:r w:rsidRPr="001977EE">
              <w:rPr>
                <w:rFonts w:ascii="Arial" w:hAnsi="Arial" w:cs="Arial"/>
                <w:b/>
              </w:rPr>
              <w:t>rocurement law</w:t>
            </w:r>
          </w:p>
        </w:tc>
        <w:tc>
          <w:tcPr>
            <w:tcW w:w="5670" w:type="dxa"/>
            <w:tcBorders>
              <w:bottom w:val="single" w:sz="4" w:space="0" w:color="auto"/>
            </w:tcBorders>
            <w:shd w:val="clear" w:color="auto" w:fill="auto"/>
          </w:tcPr>
          <w:p w14:paraId="3F4BFB84" w14:textId="77777777" w:rsidR="00B62489" w:rsidRPr="001977EE" w:rsidRDefault="0075115D" w:rsidP="003F7B8C">
            <w:pPr>
              <w:spacing w:before="120"/>
              <w:rPr>
                <w:rFonts w:ascii="Arial" w:hAnsi="Arial" w:cs="Arial"/>
              </w:rPr>
            </w:pPr>
            <w:r w:rsidRPr="001977EE">
              <w:rPr>
                <w:rFonts w:ascii="Arial" w:hAnsi="Arial" w:cs="Arial"/>
              </w:rPr>
              <w:t>All aspects of p</w:t>
            </w:r>
            <w:r w:rsidR="00B62489" w:rsidRPr="001977EE">
              <w:rPr>
                <w:rFonts w:ascii="Arial" w:hAnsi="Arial" w:cs="Arial"/>
              </w:rPr>
              <w:t xml:space="preserve">ublic </w:t>
            </w:r>
            <w:r w:rsidRPr="001977EE">
              <w:rPr>
                <w:rFonts w:ascii="Arial" w:hAnsi="Arial" w:cs="Arial"/>
              </w:rPr>
              <w:t>p</w:t>
            </w:r>
            <w:r w:rsidR="00B62489" w:rsidRPr="001977EE">
              <w:rPr>
                <w:rFonts w:ascii="Arial" w:hAnsi="Arial" w:cs="Arial"/>
              </w:rPr>
              <w:t xml:space="preserve">rocurement law including but not limited to: </w:t>
            </w:r>
          </w:p>
          <w:p w14:paraId="60FCBD89" w14:textId="77777777" w:rsidR="00C41B25" w:rsidRPr="001977EE" w:rsidRDefault="0075115D" w:rsidP="002E52E2">
            <w:pPr>
              <w:pStyle w:val="a"/>
              <w:framePr w:hSpace="0" w:wrap="auto" w:vAnchor="margin" w:yAlign="inline"/>
              <w:numPr>
                <w:ilvl w:val="0"/>
                <w:numId w:val="25"/>
              </w:numPr>
              <w:spacing w:before="120"/>
              <w:suppressOverlap w:val="0"/>
            </w:pPr>
            <w:r w:rsidRPr="001977EE">
              <w:t>the application of domestic and EU public procurement law</w:t>
            </w:r>
            <w:r w:rsidR="00C41B25" w:rsidRPr="001977EE">
              <w:t>;</w:t>
            </w:r>
            <w:r w:rsidRPr="001977EE">
              <w:t xml:space="preserve"> and </w:t>
            </w:r>
          </w:p>
          <w:p w14:paraId="2C3F0D5D" w14:textId="51817233" w:rsidR="00B62489" w:rsidRPr="001977EE" w:rsidRDefault="0075115D" w:rsidP="002E52E2">
            <w:pPr>
              <w:pStyle w:val="a"/>
              <w:framePr w:hSpace="0" w:wrap="auto" w:vAnchor="margin" w:yAlign="inline"/>
              <w:numPr>
                <w:ilvl w:val="0"/>
                <w:numId w:val="25"/>
              </w:numPr>
              <w:spacing w:before="120"/>
              <w:suppressOverlap w:val="0"/>
            </w:pPr>
            <w:proofErr w:type="gramStart"/>
            <w:r w:rsidRPr="001977EE">
              <w:t>end-to-end</w:t>
            </w:r>
            <w:proofErr w:type="gramEnd"/>
            <w:r w:rsidRPr="001977EE">
              <w:t xml:space="preserve"> support on procurement exercises, including drafting specifications, evaluation criteria, tender documentation and associated procurement and contractual documentation.</w:t>
            </w:r>
          </w:p>
        </w:tc>
      </w:tr>
      <w:tr w:rsidR="001977EE" w:rsidRPr="001977EE" w14:paraId="59814498" w14:textId="77777777" w:rsidTr="00C42D38">
        <w:tc>
          <w:tcPr>
            <w:tcW w:w="1276" w:type="dxa"/>
            <w:tcBorders>
              <w:bottom w:val="single" w:sz="4" w:space="0" w:color="auto"/>
            </w:tcBorders>
          </w:tcPr>
          <w:p w14:paraId="66243B98" w14:textId="0C012EC6" w:rsidR="00B62489" w:rsidRPr="001977EE" w:rsidRDefault="00D50D58" w:rsidP="00290483">
            <w:pPr>
              <w:spacing w:before="120"/>
              <w:jc w:val="center"/>
              <w:rPr>
                <w:rFonts w:ascii="Arial" w:hAnsi="Arial" w:cs="Arial"/>
              </w:rPr>
            </w:pPr>
            <w:r w:rsidRPr="001977EE">
              <w:rPr>
                <w:rFonts w:ascii="Arial" w:hAnsi="Arial" w:cs="Arial"/>
              </w:rPr>
              <w:t>2</w:t>
            </w:r>
            <w:r w:rsidR="00EC1B20" w:rsidRPr="001977EE">
              <w:rPr>
                <w:rFonts w:ascii="Arial" w:hAnsi="Arial" w:cs="Arial"/>
              </w:rPr>
              <w:t>1</w:t>
            </w:r>
          </w:p>
        </w:tc>
        <w:tc>
          <w:tcPr>
            <w:tcW w:w="2234" w:type="dxa"/>
            <w:tcBorders>
              <w:bottom w:val="single" w:sz="4" w:space="0" w:color="auto"/>
            </w:tcBorders>
          </w:tcPr>
          <w:p w14:paraId="170F29FC" w14:textId="77777777" w:rsidR="00B62489" w:rsidRPr="001977EE" w:rsidRDefault="00B62489" w:rsidP="003F7B8C">
            <w:pPr>
              <w:spacing w:before="120"/>
              <w:rPr>
                <w:rFonts w:ascii="Arial" w:hAnsi="Arial" w:cs="Arial"/>
                <w:b/>
              </w:rPr>
            </w:pPr>
            <w:r w:rsidRPr="001977EE">
              <w:rPr>
                <w:rFonts w:ascii="Arial" w:hAnsi="Arial" w:cs="Arial"/>
                <w:b/>
              </w:rPr>
              <w:t xml:space="preserve">Real </w:t>
            </w:r>
            <w:r w:rsidR="00C41B25" w:rsidRPr="001977EE">
              <w:rPr>
                <w:rFonts w:ascii="Arial" w:hAnsi="Arial" w:cs="Arial"/>
                <w:b/>
              </w:rPr>
              <w:t>e</w:t>
            </w:r>
            <w:r w:rsidRPr="001977EE">
              <w:rPr>
                <w:rFonts w:ascii="Arial" w:hAnsi="Arial" w:cs="Arial"/>
                <w:b/>
              </w:rPr>
              <w:t xml:space="preserve">state and </w:t>
            </w:r>
            <w:r w:rsidR="00C41B25" w:rsidRPr="001977EE">
              <w:rPr>
                <w:rFonts w:ascii="Arial" w:hAnsi="Arial" w:cs="Arial"/>
                <w:b/>
              </w:rPr>
              <w:t>r</w:t>
            </w:r>
            <w:r w:rsidRPr="001977EE">
              <w:rPr>
                <w:rFonts w:ascii="Arial" w:hAnsi="Arial" w:cs="Arial"/>
                <w:b/>
              </w:rPr>
              <w:t xml:space="preserve">eal </w:t>
            </w:r>
            <w:r w:rsidR="00C41B25" w:rsidRPr="001977EE">
              <w:rPr>
                <w:rFonts w:ascii="Arial" w:hAnsi="Arial" w:cs="Arial"/>
                <w:b/>
              </w:rPr>
              <w:t>e</w:t>
            </w:r>
            <w:r w:rsidRPr="001977EE">
              <w:rPr>
                <w:rFonts w:ascii="Arial" w:hAnsi="Arial" w:cs="Arial"/>
                <w:b/>
              </w:rPr>
              <w:t>state finance</w:t>
            </w:r>
          </w:p>
        </w:tc>
        <w:tc>
          <w:tcPr>
            <w:tcW w:w="5670" w:type="dxa"/>
            <w:tcBorders>
              <w:bottom w:val="single" w:sz="4" w:space="0" w:color="auto"/>
            </w:tcBorders>
            <w:shd w:val="clear" w:color="auto" w:fill="auto"/>
          </w:tcPr>
          <w:p w14:paraId="3BCA7460" w14:textId="77777777" w:rsidR="00B62489" w:rsidRPr="001977EE" w:rsidRDefault="00C41B25" w:rsidP="003F7B8C">
            <w:pPr>
              <w:spacing w:before="120"/>
              <w:rPr>
                <w:rFonts w:ascii="Arial" w:hAnsi="Arial" w:cs="Arial"/>
              </w:rPr>
            </w:pPr>
            <w:r w:rsidRPr="001977EE">
              <w:rPr>
                <w:rFonts w:ascii="Arial" w:hAnsi="Arial" w:cs="Arial"/>
              </w:rPr>
              <w:t>All aspects of r</w:t>
            </w:r>
            <w:r w:rsidR="00B62489" w:rsidRPr="001977EE">
              <w:rPr>
                <w:rFonts w:ascii="Arial" w:hAnsi="Arial" w:cs="Arial"/>
              </w:rPr>
              <w:t xml:space="preserve">eal </w:t>
            </w:r>
            <w:r w:rsidRPr="001977EE">
              <w:rPr>
                <w:rFonts w:ascii="Arial" w:hAnsi="Arial" w:cs="Arial"/>
              </w:rPr>
              <w:t>e</w:t>
            </w:r>
            <w:r w:rsidR="00B62489" w:rsidRPr="001977EE">
              <w:rPr>
                <w:rFonts w:ascii="Arial" w:hAnsi="Arial" w:cs="Arial"/>
              </w:rPr>
              <w:t xml:space="preserve">state and </w:t>
            </w:r>
            <w:r w:rsidRPr="001977EE">
              <w:rPr>
                <w:rFonts w:ascii="Arial" w:hAnsi="Arial" w:cs="Arial"/>
              </w:rPr>
              <w:t>r</w:t>
            </w:r>
            <w:r w:rsidR="00B62489" w:rsidRPr="001977EE">
              <w:rPr>
                <w:rFonts w:ascii="Arial" w:hAnsi="Arial" w:cs="Arial"/>
              </w:rPr>
              <w:t xml:space="preserve">eal </w:t>
            </w:r>
            <w:r w:rsidRPr="001977EE">
              <w:rPr>
                <w:rFonts w:ascii="Arial" w:hAnsi="Arial" w:cs="Arial"/>
              </w:rPr>
              <w:t>e</w:t>
            </w:r>
            <w:r w:rsidR="00B62489" w:rsidRPr="001977EE">
              <w:rPr>
                <w:rFonts w:ascii="Arial" w:hAnsi="Arial" w:cs="Arial"/>
              </w:rPr>
              <w:t>state finance including but not limited to:</w:t>
            </w:r>
          </w:p>
          <w:p w14:paraId="60DF59D2" w14:textId="28C845D3" w:rsidR="00C41B25" w:rsidRPr="001977EE" w:rsidRDefault="00021048" w:rsidP="002E52E2">
            <w:pPr>
              <w:pStyle w:val="a"/>
              <w:framePr w:hSpace="0" w:wrap="auto" w:vAnchor="margin" w:yAlign="inline"/>
              <w:numPr>
                <w:ilvl w:val="0"/>
                <w:numId w:val="26"/>
              </w:numPr>
              <w:spacing w:before="120"/>
              <w:suppressOverlap w:val="0"/>
            </w:pPr>
            <w:r w:rsidRPr="001977EE">
              <w:t>c</w:t>
            </w:r>
            <w:r w:rsidR="00C41B25" w:rsidRPr="001977EE">
              <w:t xml:space="preserve">rown, commercial and residential real estate including investment, site/property re/development, acquisition and disposal (including relevant tax advice), compulsory purchase, freehold, leasehold and licenses, land/ranges landlord and tenant  matters, social housing; and </w:t>
            </w:r>
          </w:p>
          <w:p w14:paraId="69D9899D" w14:textId="4E54D959" w:rsidR="00B62489" w:rsidRPr="001977EE" w:rsidRDefault="00C41B25" w:rsidP="002E52E2">
            <w:pPr>
              <w:pStyle w:val="a"/>
              <w:framePr w:hSpace="0" w:wrap="auto" w:vAnchor="margin" w:yAlign="inline"/>
              <w:numPr>
                <w:ilvl w:val="0"/>
                <w:numId w:val="26"/>
              </w:numPr>
              <w:spacing w:before="120"/>
              <w:suppressOverlap w:val="0"/>
            </w:pPr>
            <w:proofErr w:type="gramStart"/>
            <w:r w:rsidRPr="001977EE">
              <w:t>real</w:t>
            </w:r>
            <w:proofErr w:type="gramEnd"/>
            <w:r w:rsidRPr="001977EE">
              <w:t xml:space="preserve"> estate litigation.</w:t>
            </w:r>
          </w:p>
        </w:tc>
      </w:tr>
      <w:tr w:rsidR="001977EE" w:rsidRPr="001977EE" w14:paraId="019CA505" w14:textId="77777777" w:rsidTr="00C42D38">
        <w:tc>
          <w:tcPr>
            <w:tcW w:w="1276" w:type="dxa"/>
            <w:tcBorders>
              <w:bottom w:val="single" w:sz="4" w:space="0" w:color="auto"/>
            </w:tcBorders>
          </w:tcPr>
          <w:p w14:paraId="4F315F06" w14:textId="246C2704" w:rsidR="00B62489" w:rsidRPr="001977EE" w:rsidRDefault="005E27CA" w:rsidP="003F7B8C">
            <w:pPr>
              <w:spacing w:before="120"/>
              <w:jc w:val="center"/>
              <w:rPr>
                <w:rFonts w:ascii="Arial" w:hAnsi="Arial" w:cs="Arial"/>
              </w:rPr>
            </w:pPr>
            <w:r w:rsidRPr="001977EE">
              <w:rPr>
                <w:rFonts w:ascii="Arial" w:hAnsi="Arial" w:cs="Arial"/>
              </w:rPr>
              <w:t>2</w:t>
            </w:r>
            <w:r w:rsidR="00EC1B20" w:rsidRPr="001977EE">
              <w:rPr>
                <w:rFonts w:ascii="Arial" w:hAnsi="Arial" w:cs="Arial"/>
              </w:rPr>
              <w:t>2</w:t>
            </w:r>
          </w:p>
          <w:p w14:paraId="341740EC" w14:textId="77777777" w:rsidR="00B62489" w:rsidRPr="001977EE" w:rsidRDefault="00B62489" w:rsidP="003F7B8C">
            <w:pPr>
              <w:spacing w:before="120"/>
              <w:jc w:val="center"/>
              <w:rPr>
                <w:rFonts w:ascii="Arial" w:hAnsi="Arial" w:cs="Arial"/>
              </w:rPr>
            </w:pPr>
          </w:p>
        </w:tc>
        <w:tc>
          <w:tcPr>
            <w:tcW w:w="2234" w:type="dxa"/>
            <w:tcBorders>
              <w:bottom w:val="single" w:sz="4" w:space="0" w:color="auto"/>
            </w:tcBorders>
          </w:tcPr>
          <w:p w14:paraId="7B226C1B" w14:textId="618232B5" w:rsidR="00B62489" w:rsidRPr="001977EE" w:rsidRDefault="00B62489" w:rsidP="003F7B8C">
            <w:pPr>
              <w:spacing w:before="120"/>
              <w:rPr>
                <w:rFonts w:ascii="Arial" w:hAnsi="Arial" w:cs="Arial"/>
                <w:b/>
              </w:rPr>
            </w:pPr>
            <w:r w:rsidRPr="001977EE">
              <w:rPr>
                <w:rFonts w:ascii="Arial" w:hAnsi="Arial" w:cs="Arial"/>
                <w:b/>
              </w:rPr>
              <w:t>Restructuring/</w:t>
            </w:r>
            <w:r w:rsidR="00C42D38" w:rsidRPr="001977EE">
              <w:rPr>
                <w:rFonts w:ascii="Arial" w:hAnsi="Arial" w:cs="Arial"/>
                <w:b/>
              </w:rPr>
              <w:t xml:space="preserve"> </w:t>
            </w:r>
            <w:r w:rsidRPr="001977EE">
              <w:rPr>
                <w:rFonts w:ascii="Arial" w:hAnsi="Arial" w:cs="Arial"/>
                <w:b/>
              </w:rPr>
              <w:t>Insolvency</w:t>
            </w:r>
          </w:p>
        </w:tc>
        <w:tc>
          <w:tcPr>
            <w:tcW w:w="5670" w:type="dxa"/>
            <w:tcBorders>
              <w:bottom w:val="single" w:sz="4" w:space="0" w:color="auto"/>
            </w:tcBorders>
            <w:shd w:val="clear" w:color="auto" w:fill="auto"/>
          </w:tcPr>
          <w:p w14:paraId="729A47DC" w14:textId="77777777" w:rsidR="00B62489" w:rsidRPr="001977EE" w:rsidRDefault="00B62489" w:rsidP="003F7B8C">
            <w:pPr>
              <w:spacing w:before="120"/>
              <w:rPr>
                <w:rFonts w:ascii="Arial" w:hAnsi="Arial" w:cs="Arial"/>
              </w:rPr>
            </w:pPr>
            <w:r w:rsidRPr="001977EE">
              <w:rPr>
                <w:rFonts w:ascii="Arial" w:hAnsi="Arial" w:cs="Arial"/>
              </w:rPr>
              <w:t xml:space="preserve">Restructuring/Insolvency including but not limited to: </w:t>
            </w:r>
          </w:p>
          <w:p w14:paraId="24D45A65" w14:textId="07F1E40C" w:rsidR="00B62489" w:rsidRPr="001977EE" w:rsidRDefault="00C41B25" w:rsidP="002E52E2">
            <w:pPr>
              <w:pStyle w:val="a"/>
              <w:framePr w:hSpace="0" w:wrap="auto" w:vAnchor="margin" w:yAlign="inline"/>
              <w:numPr>
                <w:ilvl w:val="0"/>
                <w:numId w:val="27"/>
              </w:numPr>
              <w:spacing w:before="120"/>
              <w:suppressOverlap w:val="0"/>
            </w:pPr>
            <w:proofErr w:type="gramStart"/>
            <w:r w:rsidRPr="001977EE">
              <w:t>supplier</w:t>
            </w:r>
            <w:proofErr w:type="gramEnd"/>
            <w:r w:rsidRPr="001977EE">
              <w:t>, partner and supply-chain insolvencies and re-structuring.</w:t>
            </w:r>
          </w:p>
        </w:tc>
      </w:tr>
      <w:tr w:rsidR="001977EE" w:rsidRPr="001977EE" w14:paraId="0979E908" w14:textId="77777777" w:rsidTr="00C42D38">
        <w:tc>
          <w:tcPr>
            <w:tcW w:w="1276" w:type="dxa"/>
            <w:tcBorders>
              <w:bottom w:val="single" w:sz="4" w:space="0" w:color="auto"/>
            </w:tcBorders>
          </w:tcPr>
          <w:p w14:paraId="71735980" w14:textId="64218A0F" w:rsidR="00B62489" w:rsidRPr="001977EE" w:rsidRDefault="005E27CA" w:rsidP="003C79E9">
            <w:pPr>
              <w:spacing w:before="120"/>
              <w:jc w:val="center"/>
              <w:rPr>
                <w:rFonts w:ascii="Arial" w:hAnsi="Arial" w:cs="Arial"/>
              </w:rPr>
            </w:pPr>
            <w:r w:rsidRPr="001977EE">
              <w:rPr>
                <w:rFonts w:ascii="Arial" w:hAnsi="Arial" w:cs="Arial"/>
              </w:rPr>
              <w:t>2</w:t>
            </w:r>
            <w:r w:rsidR="00EC1B20" w:rsidRPr="001977EE">
              <w:rPr>
                <w:rFonts w:ascii="Arial" w:hAnsi="Arial" w:cs="Arial"/>
              </w:rPr>
              <w:t>3</w:t>
            </w:r>
          </w:p>
        </w:tc>
        <w:tc>
          <w:tcPr>
            <w:tcW w:w="2234" w:type="dxa"/>
            <w:tcBorders>
              <w:bottom w:val="single" w:sz="4" w:space="0" w:color="auto"/>
            </w:tcBorders>
          </w:tcPr>
          <w:p w14:paraId="713D758A" w14:textId="77777777" w:rsidR="00B62489" w:rsidRPr="001977EE" w:rsidRDefault="00B62489" w:rsidP="003F7B8C">
            <w:pPr>
              <w:spacing w:before="120"/>
              <w:rPr>
                <w:rFonts w:ascii="Arial" w:hAnsi="Arial" w:cs="Arial"/>
                <w:b/>
              </w:rPr>
            </w:pPr>
            <w:r w:rsidRPr="001977EE">
              <w:rPr>
                <w:rFonts w:ascii="Arial" w:hAnsi="Arial" w:cs="Arial"/>
                <w:b/>
              </w:rPr>
              <w:t>Tax</w:t>
            </w:r>
            <w:r w:rsidR="00C41B25" w:rsidRPr="001977EE">
              <w:rPr>
                <w:rFonts w:ascii="Arial" w:hAnsi="Arial" w:cs="Arial"/>
                <w:b/>
              </w:rPr>
              <w:t xml:space="preserve"> law</w:t>
            </w:r>
          </w:p>
        </w:tc>
        <w:tc>
          <w:tcPr>
            <w:tcW w:w="5670" w:type="dxa"/>
            <w:tcBorders>
              <w:bottom w:val="single" w:sz="4" w:space="0" w:color="auto"/>
            </w:tcBorders>
            <w:shd w:val="clear" w:color="auto" w:fill="auto"/>
          </w:tcPr>
          <w:p w14:paraId="5DD3260B" w14:textId="77777777" w:rsidR="00B62489" w:rsidRPr="001977EE" w:rsidRDefault="00B62489" w:rsidP="003F7B8C">
            <w:pPr>
              <w:spacing w:before="120"/>
              <w:rPr>
                <w:rFonts w:ascii="Arial" w:hAnsi="Arial" w:cs="Arial"/>
              </w:rPr>
            </w:pPr>
            <w:r w:rsidRPr="001977EE">
              <w:rPr>
                <w:rFonts w:ascii="Arial" w:hAnsi="Arial" w:cs="Arial"/>
              </w:rPr>
              <w:t xml:space="preserve">Tax </w:t>
            </w:r>
            <w:r w:rsidR="00C41B25" w:rsidRPr="001977EE">
              <w:rPr>
                <w:rFonts w:ascii="Arial" w:hAnsi="Arial" w:cs="Arial"/>
              </w:rPr>
              <w:t xml:space="preserve">law </w:t>
            </w:r>
            <w:r w:rsidRPr="001977EE">
              <w:rPr>
                <w:rFonts w:ascii="Arial" w:hAnsi="Arial" w:cs="Arial"/>
              </w:rPr>
              <w:t xml:space="preserve">including but not limited to: </w:t>
            </w:r>
          </w:p>
          <w:p w14:paraId="7FA8CAD2" w14:textId="661DB37F" w:rsidR="00B62489" w:rsidRPr="001977EE" w:rsidRDefault="00C41B25" w:rsidP="002E52E2">
            <w:pPr>
              <w:pStyle w:val="a"/>
              <w:framePr w:hSpace="0" w:wrap="auto" w:vAnchor="margin" w:yAlign="inline"/>
              <w:numPr>
                <w:ilvl w:val="0"/>
                <w:numId w:val="28"/>
              </w:numPr>
              <w:spacing w:before="120"/>
              <w:suppressOverlap w:val="0"/>
            </w:pPr>
            <w:proofErr w:type="gramStart"/>
            <w:r w:rsidRPr="001977EE">
              <w:t>the</w:t>
            </w:r>
            <w:proofErr w:type="gramEnd"/>
            <w:r w:rsidRPr="001977EE">
              <w:t xml:space="preserve"> application of direct and indirect taxation.</w:t>
            </w:r>
          </w:p>
        </w:tc>
      </w:tr>
    </w:tbl>
    <w:p w14:paraId="5D069E0E" w14:textId="77777777" w:rsidR="00C42D38" w:rsidRPr="001977EE" w:rsidRDefault="00C42D38" w:rsidP="0039119F">
      <w:pPr>
        <w:jc w:val="center"/>
        <w:rPr>
          <w:rFonts w:ascii="Arial" w:hAnsi="Arial" w:cs="Arial"/>
          <w:b/>
        </w:rPr>
      </w:pPr>
    </w:p>
    <w:p w14:paraId="76EC478F" w14:textId="77777777" w:rsidR="00C42D38" w:rsidRPr="001977EE" w:rsidRDefault="00C42D38">
      <w:pPr>
        <w:spacing w:after="160" w:line="259" w:lineRule="auto"/>
        <w:rPr>
          <w:rFonts w:ascii="Arial" w:hAnsi="Arial" w:cs="Arial"/>
          <w:b/>
        </w:rPr>
      </w:pPr>
      <w:r w:rsidRPr="001977EE">
        <w:rPr>
          <w:rFonts w:ascii="Arial" w:hAnsi="Arial" w:cs="Arial"/>
          <w:b/>
        </w:rPr>
        <w:br w:type="page"/>
      </w:r>
    </w:p>
    <w:p w14:paraId="7D56684E" w14:textId="6CF84D62" w:rsidR="00C21D3C" w:rsidRPr="001977EE" w:rsidRDefault="00D50D58" w:rsidP="0039119F">
      <w:pPr>
        <w:jc w:val="center"/>
        <w:rPr>
          <w:rFonts w:ascii="Arial" w:hAnsi="Arial" w:cs="Arial"/>
          <w:b/>
        </w:rPr>
      </w:pPr>
      <w:r w:rsidRPr="001977EE">
        <w:rPr>
          <w:rFonts w:ascii="Arial" w:hAnsi="Arial" w:cs="Arial"/>
          <w:b/>
        </w:rPr>
        <w:lastRenderedPageBreak/>
        <w:t>Appendix</w:t>
      </w:r>
      <w:r w:rsidR="00C21D3C" w:rsidRPr="001977EE">
        <w:rPr>
          <w:rFonts w:ascii="Arial" w:hAnsi="Arial" w:cs="Arial"/>
          <w:b/>
        </w:rPr>
        <w:t xml:space="preserve"> 3 (Optional </w:t>
      </w:r>
      <w:r w:rsidR="004C792E" w:rsidRPr="001977EE">
        <w:rPr>
          <w:rFonts w:ascii="Arial" w:hAnsi="Arial" w:cs="Arial"/>
          <w:b/>
        </w:rPr>
        <w:t>Specialisms</w:t>
      </w:r>
      <w:r w:rsidR="00C21D3C" w:rsidRPr="001977EE">
        <w:rPr>
          <w:rFonts w:ascii="Arial" w:hAnsi="Arial" w:cs="Arial"/>
          <w:b/>
        </w:rPr>
        <w:t>)</w:t>
      </w:r>
    </w:p>
    <w:tbl>
      <w:tblPr>
        <w:tblpPr w:leftFromText="180" w:rightFromText="180" w:vertAnchor="text" w:tblpY="1"/>
        <w:tblOverlap w:val="neve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52"/>
        <w:gridCol w:w="5272"/>
      </w:tblGrid>
      <w:tr w:rsidR="001977EE" w:rsidRPr="001977EE" w14:paraId="7EA7317E" w14:textId="77777777" w:rsidTr="00743F4A">
        <w:tc>
          <w:tcPr>
            <w:tcW w:w="1384" w:type="dxa"/>
            <w:tcBorders>
              <w:left w:val="single" w:sz="4" w:space="0" w:color="auto"/>
              <w:right w:val="single" w:sz="4" w:space="0" w:color="auto"/>
            </w:tcBorders>
            <w:shd w:val="clear" w:color="auto" w:fill="D9D9D9" w:themeFill="background1" w:themeFillShade="D9"/>
          </w:tcPr>
          <w:p w14:paraId="44E837CB" w14:textId="4C7D25E9" w:rsidR="00C42D38" w:rsidRPr="001977EE" w:rsidRDefault="00C42D38" w:rsidP="00B70A33">
            <w:pPr>
              <w:spacing w:before="120"/>
              <w:jc w:val="center"/>
              <w:rPr>
                <w:rFonts w:ascii="Arial" w:hAnsi="Arial" w:cs="Arial"/>
                <w:b/>
                <w:sz w:val="20"/>
                <w:szCs w:val="20"/>
              </w:rPr>
            </w:pPr>
            <w:r w:rsidRPr="001977EE">
              <w:rPr>
                <w:rFonts w:ascii="Arial" w:hAnsi="Arial" w:cs="Arial"/>
                <w:b/>
                <w:sz w:val="20"/>
                <w:szCs w:val="20"/>
              </w:rPr>
              <w:t xml:space="preserve">Optional </w:t>
            </w:r>
            <w:r w:rsidR="00B70A33" w:rsidRPr="001977EE">
              <w:rPr>
                <w:rFonts w:ascii="Arial" w:hAnsi="Arial" w:cs="Arial"/>
                <w:b/>
                <w:sz w:val="20"/>
                <w:szCs w:val="20"/>
              </w:rPr>
              <w:t>Specialism</w:t>
            </w:r>
            <w:r w:rsidRPr="001977EE">
              <w:rPr>
                <w:rFonts w:ascii="Arial" w:hAnsi="Arial" w:cs="Arial"/>
                <w:b/>
                <w:sz w:val="20"/>
                <w:szCs w:val="20"/>
              </w:rPr>
              <w:t xml:space="preserve"> No.</w:t>
            </w:r>
          </w:p>
        </w:tc>
        <w:tc>
          <w:tcPr>
            <w:tcW w:w="2552" w:type="dxa"/>
            <w:tcBorders>
              <w:left w:val="single" w:sz="4" w:space="0" w:color="auto"/>
              <w:right w:val="single" w:sz="4" w:space="0" w:color="auto"/>
            </w:tcBorders>
            <w:shd w:val="clear" w:color="auto" w:fill="D9D9D9" w:themeFill="background1" w:themeFillShade="D9"/>
          </w:tcPr>
          <w:p w14:paraId="1BB1483B" w14:textId="1F0D1DBA" w:rsidR="00C42D38" w:rsidRPr="001977EE" w:rsidRDefault="00C42D38" w:rsidP="003F7B8C">
            <w:pPr>
              <w:spacing w:before="120"/>
              <w:jc w:val="center"/>
              <w:rPr>
                <w:rFonts w:ascii="Arial" w:hAnsi="Arial" w:cs="Arial"/>
                <w:b/>
                <w:sz w:val="20"/>
                <w:szCs w:val="20"/>
              </w:rPr>
            </w:pPr>
            <w:r w:rsidRPr="001977EE">
              <w:rPr>
                <w:rFonts w:ascii="Arial" w:hAnsi="Arial" w:cs="Arial"/>
                <w:b/>
                <w:sz w:val="20"/>
                <w:szCs w:val="20"/>
              </w:rPr>
              <w:t>Service</w:t>
            </w:r>
          </w:p>
        </w:tc>
        <w:tc>
          <w:tcPr>
            <w:tcW w:w="5272" w:type="dxa"/>
            <w:tcBorders>
              <w:left w:val="single" w:sz="4" w:space="0" w:color="auto"/>
              <w:right w:val="single" w:sz="4" w:space="0" w:color="auto"/>
            </w:tcBorders>
            <w:shd w:val="clear" w:color="auto" w:fill="D9D9D9" w:themeFill="background1" w:themeFillShade="D9"/>
          </w:tcPr>
          <w:p w14:paraId="7B2CBEF8" w14:textId="553A1933" w:rsidR="00C42D38" w:rsidRPr="001977EE" w:rsidRDefault="00C42D38" w:rsidP="003F7B8C">
            <w:pPr>
              <w:spacing w:before="120"/>
              <w:jc w:val="center"/>
              <w:rPr>
                <w:rFonts w:ascii="Arial" w:hAnsi="Arial" w:cs="Arial"/>
                <w:b/>
                <w:sz w:val="20"/>
                <w:szCs w:val="20"/>
              </w:rPr>
            </w:pPr>
            <w:r w:rsidRPr="001977EE">
              <w:rPr>
                <w:rFonts w:ascii="Arial" w:hAnsi="Arial" w:cs="Arial"/>
                <w:b/>
                <w:sz w:val="20"/>
                <w:szCs w:val="20"/>
              </w:rPr>
              <w:t>Scope</w:t>
            </w:r>
          </w:p>
        </w:tc>
      </w:tr>
      <w:tr w:rsidR="001977EE" w:rsidRPr="001977EE" w14:paraId="2BE9B3A3" w14:textId="77777777" w:rsidTr="00B70A33">
        <w:tc>
          <w:tcPr>
            <w:tcW w:w="1384" w:type="dxa"/>
          </w:tcPr>
          <w:p w14:paraId="388A3CB3" w14:textId="0C73D1A2" w:rsidR="00C42D38" w:rsidRPr="001977EE" w:rsidRDefault="00C42D38" w:rsidP="003F7B8C">
            <w:pPr>
              <w:spacing w:before="120"/>
              <w:jc w:val="center"/>
              <w:rPr>
                <w:rFonts w:ascii="Arial" w:hAnsi="Arial" w:cs="Arial"/>
              </w:rPr>
            </w:pPr>
            <w:r w:rsidRPr="001977EE">
              <w:rPr>
                <w:rFonts w:ascii="Arial" w:hAnsi="Arial" w:cs="Arial"/>
              </w:rPr>
              <w:t>1</w:t>
            </w:r>
          </w:p>
        </w:tc>
        <w:tc>
          <w:tcPr>
            <w:tcW w:w="2552" w:type="dxa"/>
          </w:tcPr>
          <w:p w14:paraId="2ED7C048" w14:textId="38BCA81D" w:rsidR="00C42D38" w:rsidRPr="001977EE" w:rsidRDefault="00C42D38" w:rsidP="003F7B8C">
            <w:pPr>
              <w:spacing w:before="120"/>
              <w:rPr>
                <w:rFonts w:ascii="Arial" w:hAnsi="Arial" w:cs="Arial"/>
                <w:b/>
              </w:rPr>
            </w:pPr>
            <w:r w:rsidRPr="001977EE">
              <w:rPr>
                <w:rFonts w:ascii="Arial" w:hAnsi="Arial" w:cs="Arial"/>
                <w:b/>
              </w:rPr>
              <w:t>Education law</w:t>
            </w:r>
          </w:p>
        </w:tc>
        <w:tc>
          <w:tcPr>
            <w:tcW w:w="5272" w:type="dxa"/>
            <w:shd w:val="clear" w:color="auto" w:fill="auto"/>
          </w:tcPr>
          <w:p w14:paraId="25F844FA" w14:textId="77777777" w:rsidR="00C42D38" w:rsidRPr="001977EE" w:rsidRDefault="00C42D38" w:rsidP="003F7B8C">
            <w:pPr>
              <w:spacing w:before="120"/>
              <w:rPr>
                <w:rFonts w:ascii="Arial" w:hAnsi="Arial" w:cs="Arial"/>
              </w:rPr>
            </w:pPr>
            <w:r w:rsidRPr="001977EE">
              <w:rPr>
                <w:rFonts w:ascii="Arial" w:hAnsi="Arial" w:cs="Arial"/>
              </w:rPr>
              <w:t xml:space="preserve">Education law including but not limited to:  </w:t>
            </w:r>
          </w:p>
          <w:p w14:paraId="4810145B" w14:textId="0A327093" w:rsidR="00C42D38" w:rsidRPr="001977EE" w:rsidRDefault="00C42D38" w:rsidP="002E52E2">
            <w:pPr>
              <w:pStyle w:val="a"/>
              <w:framePr w:hSpace="0" w:wrap="auto" w:vAnchor="margin" w:yAlign="inline"/>
              <w:numPr>
                <w:ilvl w:val="0"/>
                <w:numId w:val="29"/>
              </w:numPr>
              <w:spacing w:before="120"/>
              <w:suppressOverlap w:val="0"/>
            </w:pPr>
            <w:r w:rsidRPr="001977EE">
              <w:t>all aspects of education law, including (but not limited to) early years, all aspects of schools and schooling, school workforce, special educational needs, admissions, exclusions, Equalities issues, pupil/student related litigation, governance and reorganisation issues, inspection and regulation, finance and funding issues, higher and further education, student finance, and education-focused charity, contract and property law issues relevant to the educational sector.</w:t>
            </w:r>
          </w:p>
        </w:tc>
      </w:tr>
      <w:tr w:rsidR="001977EE" w:rsidRPr="001977EE" w14:paraId="4E403C34" w14:textId="77777777" w:rsidTr="00B70A33">
        <w:tc>
          <w:tcPr>
            <w:tcW w:w="1384" w:type="dxa"/>
          </w:tcPr>
          <w:p w14:paraId="0F9C14DD" w14:textId="523DE228" w:rsidR="00C42D38" w:rsidRPr="001977EE" w:rsidRDefault="00C42D38" w:rsidP="003F7B8C">
            <w:pPr>
              <w:spacing w:before="120"/>
              <w:jc w:val="center"/>
              <w:rPr>
                <w:rFonts w:ascii="Arial" w:hAnsi="Arial" w:cs="Arial"/>
              </w:rPr>
            </w:pPr>
            <w:r w:rsidRPr="001977EE">
              <w:rPr>
                <w:rFonts w:ascii="Arial" w:hAnsi="Arial" w:cs="Arial"/>
              </w:rPr>
              <w:t>2</w:t>
            </w:r>
          </w:p>
        </w:tc>
        <w:tc>
          <w:tcPr>
            <w:tcW w:w="2552" w:type="dxa"/>
          </w:tcPr>
          <w:p w14:paraId="3F9D401E" w14:textId="2A47628A" w:rsidR="00C42D38" w:rsidRPr="001977EE" w:rsidRDefault="00C42D38" w:rsidP="003F7B8C">
            <w:pPr>
              <w:spacing w:before="120"/>
              <w:rPr>
                <w:rFonts w:ascii="Arial" w:hAnsi="Arial" w:cs="Arial"/>
                <w:b/>
              </w:rPr>
            </w:pPr>
            <w:r w:rsidRPr="001977EE">
              <w:rPr>
                <w:rFonts w:ascii="Arial" w:hAnsi="Arial" w:cs="Arial"/>
                <w:b/>
              </w:rPr>
              <w:t>Child law</w:t>
            </w:r>
          </w:p>
        </w:tc>
        <w:tc>
          <w:tcPr>
            <w:tcW w:w="5272" w:type="dxa"/>
            <w:shd w:val="clear" w:color="auto" w:fill="auto"/>
          </w:tcPr>
          <w:p w14:paraId="0EB198D1" w14:textId="5F19F782" w:rsidR="00C42D38" w:rsidRPr="001977EE" w:rsidRDefault="003F7B8C" w:rsidP="003F7B8C">
            <w:pPr>
              <w:spacing w:before="120"/>
              <w:rPr>
                <w:rFonts w:ascii="Arial" w:hAnsi="Arial" w:cs="Arial"/>
              </w:rPr>
            </w:pPr>
            <w:r w:rsidRPr="001977EE">
              <w:rPr>
                <w:rFonts w:ascii="Arial" w:hAnsi="Arial" w:cs="Arial"/>
              </w:rPr>
              <w:t>C</w:t>
            </w:r>
            <w:r w:rsidR="00C42D38" w:rsidRPr="001977EE">
              <w:rPr>
                <w:rFonts w:ascii="Arial" w:hAnsi="Arial" w:cs="Arial"/>
              </w:rPr>
              <w:t xml:space="preserve">hild law, including but not limited </w:t>
            </w:r>
            <w:r w:rsidR="00801187" w:rsidRPr="001977EE">
              <w:rPr>
                <w:rFonts w:ascii="Arial" w:hAnsi="Arial" w:cs="Arial"/>
              </w:rPr>
              <w:t>to adoption, social</w:t>
            </w:r>
            <w:r w:rsidR="00C42D38" w:rsidRPr="001977EE">
              <w:rPr>
                <w:rFonts w:ascii="Arial" w:hAnsi="Arial" w:cs="Arial"/>
              </w:rPr>
              <w:t xml:space="preserve"> work, child-related and child protection issues.</w:t>
            </w:r>
          </w:p>
        </w:tc>
      </w:tr>
      <w:tr w:rsidR="001977EE" w:rsidRPr="001977EE" w14:paraId="72391EF2" w14:textId="77777777" w:rsidTr="00B70A33">
        <w:tc>
          <w:tcPr>
            <w:tcW w:w="1384" w:type="dxa"/>
          </w:tcPr>
          <w:p w14:paraId="3024AB83" w14:textId="2B19FC1D" w:rsidR="00C42D38" w:rsidRPr="001977EE" w:rsidRDefault="00C42D38" w:rsidP="003F7B8C">
            <w:pPr>
              <w:spacing w:before="120"/>
              <w:jc w:val="center"/>
              <w:rPr>
                <w:rFonts w:ascii="Arial" w:hAnsi="Arial" w:cs="Arial"/>
              </w:rPr>
            </w:pPr>
            <w:r w:rsidRPr="001977EE">
              <w:rPr>
                <w:rFonts w:ascii="Arial" w:hAnsi="Arial" w:cs="Arial"/>
              </w:rPr>
              <w:t>3</w:t>
            </w:r>
          </w:p>
        </w:tc>
        <w:tc>
          <w:tcPr>
            <w:tcW w:w="2552" w:type="dxa"/>
          </w:tcPr>
          <w:p w14:paraId="11526C2A" w14:textId="71D915C2" w:rsidR="00C42D38" w:rsidRPr="001977EE" w:rsidRDefault="00C42D38" w:rsidP="003F7B8C">
            <w:pPr>
              <w:spacing w:before="120"/>
              <w:rPr>
                <w:rFonts w:ascii="Arial" w:hAnsi="Arial" w:cs="Arial"/>
                <w:b/>
              </w:rPr>
            </w:pPr>
            <w:r w:rsidRPr="001977EE">
              <w:rPr>
                <w:rFonts w:ascii="Arial" w:hAnsi="Arial" w:cs="Arial"/>
                <w:b/>
              </w:rPr>
              <w:t>Energy and natural resources</w:t>
            </w:r>
          </w:p>
        </w:tc>
        <w:tc>
          <w:tcPr>
            <w:tcW w:w="5272" w:type="dxa"/>
            <w:shd w:val="clear" w:color="auto" w:fill="auto"/>
          </w:tcPr>
          <w:p w14:paraId="79CD6AE1" w14:textId="46795E1E" w:rsidR="00C42D38" w:rsidRPr="001977EE" w:rsidRDefault="00C42D38" w:rsidP="003F7B8C">
            <w:pPr>
              <w:spacing w:before="120"/>
              <w:rPr>
                <w:rFonts w:ascii="Arial" w:hAnsi="Arial" w:cs="Arial"/>
              </w:rPr>
            </w:pPr>
            <w:bookmarkStart w:id="1" w:name="_msoanchor_2"/>
            <w:bookmarkEnd w:id="1"/>
            <w:r w:rsidRPr="001977EE">
              <w:rPr>
                <w:rFonts w:ascii="Arial" w:hAnsi="Arial" w:cs="Arial"/>
              </w:rPr>
              <w:t xml:space="preserve">Energy (including </w:t>
            </w:r>
            <w:r w:rsidR="00021048" w:rsidRPr="001977EE">
              <w:rPr>
                <w:rFonts w:ascii="Arial" w:hAnsi="Arial" w:cs="Arial"/>
              </w:rPr>
              <w:t>m</w:t>
            </w:r>
            <w:r w:rsidRPr="001977EE">
              <w:rPr>
                <w:rFonts w:ascii="Arial" w:hAnsi="Arial" w:cs="Arial"/>
              </w:rPr>
              <w:t xml:space="preserve">ining and </w:t>
            </w:r>
            <w:r w:rsidR="00021048" w:rsidRPr="001977EE">
              <w:rPr>
                <w:rFonts w:ascii="Arial" w:hAnsi="Arial" w:cs="Arial"/>
              </w:rPr>
              <w:t>n</w:t>
            </w:r>
            <w:r w:rsidRPr="001977EE">
              <w:rPr>
                <w:rFonts w:ascii="Arial" w:hAnsi="Arial" w:cs="Arial"/>
              </w:rPr>
              <w:t xml:space="preserve">uclear) and </w:t>
            </w:r>
            <w:r w:rsidR="00021048" w:rsidRPr="001977EE">
              <w:rPr>
                <w:rFonts w:ascii="Arial" w:hAnsi="Arial" w:cs="Arial"/>
              </w:rPr>
              <w:t>n</w:t>
            </w:r>
            <w:r w:rsidRPr="001977EE">
              <w:rPr>
                <w:rFonts w:ascii="Arial" w:hAnsi="Arial" w:cs="Arial"/>
              </w:rPr>
              <w:t xml:space="preserve">atural </w:t>
            </w:r>
            <w:r w:rsidR="00021048" w:rsidRPr="001977EE">
              <w:rPr>
                <w:rFonts w:ascii="Arial" w:hAnsi="Arial" w:cs="Arial"/>
              </w:rPr>
              <w:t>r</w:t>
            </w:r>
            <w:r w:rsidRPr="001977EE">
              <w:rPr>
                <w:rFonts w:ascii="Arial" w:hAnsi="Arial" w:cs="Arial"/>
              </w:rPr>
              <w:t>esources including but not limited to: </w:t>
            </w:r>
          </w:p>
          <w:p w14:paraId="588A42DB" w14:textId="6731AB74" w:rsidR="00C42D38" w:rsidRPr="001977EE" w:rsidRDefault="00C42D38" w:rsidP="002E52E2">
            <w:pPr>
              <w:pStyle w:val="a"/>
              <w:framePr w:hSpace="0" w:wrap="auto" w:vAnchor="margin" w:yAlign="inline"/>
              <w:numPr>
                <w:ilvl w:val="0"/>
                <w:numId w:val="38"/>
              </w:numPr>
              <w:spacing w:before="120"/>
              <w:suppressOverlap w:val="0"/>
            </w:pPr>
            <w:r w:rsidRPr="001977EE">
              <w:t xml:space="preserve">all aspects of </w:t>
            </w:r>
            <w:r w:rsidR="00021048" w:rsidRPr="001977EE">
              <w:t>e</w:t>
            </w:r>
            <w:r w:rsidRPr="001977EE">
              <w:t xml:space="preserve">nergy and </w:t>
            </w:r>
            <w:r w:rsidR="00021048" w:rsidRPr="001977EE">
              <w:t>n</w:t>
            </w:r>
            <w:r w:rsidRPr="001977EE">
              <w:t xml:space="preserve">atural </w:t>
            </w:r>
            <w:r w:rsidR="00021048" w:rsidRPr="001977EE">
              <w:t>r</w:t>
            </w:r>
            <w:r w:rsidRPr="001977EE">
              <w:t xml:space="preserve">esources including the permitting, development, financing, taxation, contracting, licensing, management, operation, environmental, climate change impacts and regulatory issues relating to: </w:t>
            </w:r>
          </w:p>
          <w:p w14:paraId="4B33B4FB" w14:textId="6EE9F1F3" w:rsidR="00C42D38" w:rsidRPr="001977EE" w:rsidRDefault="00021048" w:rsidP="002E52E2">
            <w:pPr>
              <w:pStyle w:val="a"/>
              <w:framePr w:hSpace="0" w:wrap="auto" w:vAnchor="margin" w:yAlign="inline"/>
              <w:numPr>
                <w:ilvl w:val="1"/>
                <w:numId w:val="30"/>
              </w:numPr>
              <w:spacing w:before="120"/>
              <w:suppressOverlap w:val="0"/>
            </w:pPr>
            <w:r w:rsidRPr="001977EE">
              <w:t>o</w:t>
            </w:r>
            <w:r w:rsidR="00C42D38" w:rsidRPr="001977EE">
              <w:t xml:space="preserve">il and </w:t>
            </w:r>
            <w:r w:rsidRPr="001977EE">
              <w:t>g</w:t>
            </w:r>
            <w:r w:rsidR="00C42D38" w:rsidRPr="001977EE">
              <w:t>as, including unconventional oil and gas;</w:t>
            </w:r>
          </w:p>
          <w:p w14:paraId="19B2F0D4" w14:textId="6CB7C372" w:rsidR="00C42D38" w:rsidRPr="001977EE" w:rsidRDefault="00021048" w:rsidP="002E52E2">
            <w:pPr>
              <w:pStyle w:val="a"/>
              <w:framePr w:hSpace="0" w:wrap="auto" w:vAnchor="margin" w:yAlign="inline"/>
              <w:numPr>
                <w:ilvl w:val="1"/>
                <w:numId w:val="30"/>
              </w:numPr>
              <w:spacing w:before="120"/>
              <w:suppressOverlap w:val="0"/>
            </w:pPr>
            <w:r w:rsidRPr="001977EE">
              <w:t>e</w:t>
            </w:r>
            <w:r w:rsidR="00C42D38" w:rsidRPr="001977EE">
              <w:t xml:space="preserve">lectricity generated by whatever means, including </w:t>
            </w:r>
            <w:r w:rsidRPr="001977EE">
              <w:t>r</w:t>
            </w:r>
            <w:r w:rsidR="00C42D38" w:rsidRPr="001977EE">
              <w:t>enewables</w:t>
            </w:r>
            <w:r w:rsidRPr="001977EE">
              <w:t>;</w:t>
            </w:r>
          </w:p>
          <w:p w14:paraId="00CDC139" w14:textId="6F752652" w:rsidR="00C42D38" w:rsidRPr="001977EE" w:rsidRDefault="00021048" w:rsidP="002E52E2">
            <w:pPr>
              <w:pStyle w:val="a"/>
              <w:framePr w:hSpace="0" w:wrap="auto" w:vAnchor="margin" w:yAlign="inline"/>
              <w:numPr>
                <w:ilvl w:val="1"/>
                <w:numId w:val="30"/>
              </w:numPr>
              <w:spacing w:before="120"/>
              <w:suppressOverlap w:val="0"/>
            </w:pPr>
            <w:r w:rsidRPr="001977EE">
              <w:t>e</w:t>
            </w:r>
            <w:r w:rsidR="00C42D38" w:rsidRPr="001977EE">
              <w:t xml:space="preserve">nergy </w:t>
            </w:r>
            <w:r w:rsidRPr="001977EE">
              <w:t>e</w:t>
            </w:r>
            <w:r w:rsidR="00C42D38" w:rsidRPr="001977EE">
              <w:t>fficiency measures;</w:t>
            </w:r>
          </w:p>
          <w:p w14:paraId="707A50C4" w14:textId="7C4BFE70" w:rsidR="00C42D38" w:rsidRPr="001977EE" w:rsidRDefault="00021048" w:rsidP="002E52E2">
            <w:pPr>
              <w:pStyle w:val="a"/>
              <w:framePr w:hSpace="0" w:wrap="auto" w:vAnchor="margin" w:yAlign="inline"/>
              <w:numPr>
                <w:ilvl w:val="1"/>
                <w:numId w:val="30"/>
              </w:numPr>
              <w:spacing w:before="120"/>
              <w:suppressOverlap w:val="0"/>
            </w:pPr>
            <w:r w:rsidRPr="001977EE">
              <w:t>n</w:t>
            </w:r>
            <w:r w:rsidR="00C42D38" w:rsidRPr="001977EE">
              <w:t>uclear, including disposal issues;</w:t>
            </w:r>
          </w:p>
          <w:p w14:paraId="2915E89C" w14:textId="0A6D0933" w:rsidR="00021048" w:rsidRPr="001977EE" w:rsidRDefault="00021048" w:rsidP="002E52E2">
            <w:pPr>
              <w:pStyle w:val="a"/>
              <w:framePr w:hSpace="0" w:wrap="auto" w:vAnchor="margin" w:yAlign="inline"/>
              <w:numPr>
                <w:ilvl w:val="1"/>
                <w:numId w:val="30"/>
              </w:numPr>
              <w:spacing w:before="120"/>
              <w:suppressOverlap w:val="0"/>
            </w:pPr>
            <w:r w:rsidRPr="001977EE">
              <w:t>c</w:t>
            </w:r>
            <w:r w:rsidR="00C42D38" w:rsidRPr="001977EE">
              <w:t>oal mining and power;</w:t>
            </w:r>
          </w:p>
          <w:p w14:paraId="0E0D6497" w14:textId="5CAB0211" w:rsidR="00C42D38" w:rsidRPr="001977EE" w:rsidRDefault="00021048" w:rsidP="002E52E2">
            <w:pPr>
              <w:pStyle w:val="a"/>
              <w:framePr w:hSpace="0" w:wrap="auto" w:vAnchor="margin" w:yAlign="inline"/>
              <w:numPr>
                <w:ilvl w:val="1"/>
                <w:numId w:val="30"/>
              </w:numPr>
              <w:spacing w:before="120"/>
              <w:suppressOverlap w:val="0"/>
            </w:pPr>
            <w:r w:rsidRPr="001977EE">
              <w:t>r</w:t>
            </w:r>
            <w:r w:rsidR="00C42D38" w:rsidRPr="001977EE">
              <w:t>esearch and innovation related to energy</w:t>
            </w:r>
            <w:r w:rsidRPr="001977EE">
              <w:t>;</w:t>
            </w:r>
            <w:r w:rsidR="00C42D38" w:rsidRPr="001977EE">
              <w:t xml:space="preserve"> and</w:t>
            </w:r>
          </w:p>
          <w:p w14:paraId="3F95D5D5" w14:textId="407D9A68" w:rsidR="00C42D38" w:rsidRPr="001977EE" w:rsidRDefault="00021048" w:rsidP="002E52E2">
            <w:pPr>
              <w:pStyle w:val="a"/>
              <w:framePr w:hSpace="0" w:wrap="auto" w:vAnchor="margin" w:yAlign="inline"/>
              <w:numPr>
                <w:ilvl w:val="1"/>
                <w:numId w:val="30"/>
              </w:numPr>
              <w:spacing w:before="120"/>
              <w:suppressOverlap w:val="0"/>
            </w:pPr>
            <w:r w:rsidRPr="001977EE">
              <w:t>w</w:t>
            </w:r>
            <w:r w:rsidR="00C42D38" w:rsidRPr="001977EE">
              <w:t>ater, air and land use, including emissions and pollution</w:t>
            </w:r>
          </w:p>
        </w:tc>
      </w:tr>
    </w:tbl>
    <w:p w14:paraId="0EA088B6" w14:textId="5FEBE6B4" w:rsidR="003F7B8C" w:rsidRPr="001977EE" w:rsidRDefault="003F7B8C">
      <w:r w:rsidRPr="001977EE">
        <w:br w:type="page"/>
      </w:r>
    </w:p>
    <w:tbl>
      <w:tblPr>
        <w:tblpPr w:leftFromText="180" w:rightFromText="180" w:vertAnchor="text" w:tblpY="1"/>
        <w:tblOverlap w:val="neve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4"/>
        <w:gridCol w:w="5272"/>
      </w:tblGrid>
      <w:tr w:rsidR="001977EE" w:rsidRPr="001977EE" w14:paraId="2E3FEE70" w14:textId="77777777" w:rsidTr="003F7B8C">
        <w:trPr>
          <w:trHeight w:val="3251"/>
        </w:trPr>
        <w:tc>
          <w:tcPr>
            <w:tcW w:w="1242" w:type="dxa"/>
            <w:tcBorders>
              <w:bottom w:val="single" w:sz="4" w:space="0" w:color="auto"/>
            </w:tcBorders>
          </w:tcPr>
          <w:p w14:paraId="3C29C027" w14:textId="43B194A6" w:rsidR="00C42D38" w:rsidRPr="001977EE" w:rsidRDefault="00C42D38" w:rsidP="003F7B8C">
            <w:pPr>
              <w:spacing w:before="120"/>
              <w:jc w:val="center"/>
              <w:rPr>
                <w:rFonts w:ascii="Arial" w:hAnsi="Arial" w:cs="Arial"/>
              </w:rPr>
            </w:pPr>
            <w:r w:rsidRPr="001977EE">
              <w:rPr>
                <w:rFonts w:ascii="Arial" w:hAnsi="Arial" w:cs="Arial"/>
              </w:rPr>
              <w:lastRenderedPageBreak/>
              <w:t>4</w:t>
            </w:r>
          </w:p>
        </w:tc>
        <w:tc>
          <w:tcPr>
            <w:tcW w:w="2694" w:type="dxa"/>
            <w:tcBorders>
              <w:bottom w:val="single" w:sz="4" w:space="0" w:color="auto"/>
            </w:tcBorders>
          </w:tcPr>
          <w:p w14:paraId="14653090" w14:textId="09D49A22" w:rsidR="00C42D38" w:rsidRPr="001977EE" w:rsidRDefault="00C42D38" w:rsidP="003F7B8C">
            <w:pPr>
              <w:spacing w:before="120"/>
              <w:rPr>
                <w:rFonts w:ascii="Arial" w:hAnsi="Arial" w:cs="Arial"/>
                <w:b/>
              </w:rPr>
            </w:pPr>
            <w:r w:rsidRPr="001977EE">
              <w:rPr>
                <w:rFonts w:ascii="Arial" w:hAnsi="Arial" w:cs="Arial"/>
                <w:b/>
              </w:rPr>
              <w:t>Food, Rural and Environmental Affairs</w:t>
            </w:r>
          </w:p>
        </w:tc>
        <w:tc>
          <w:tcPr>
            <w:tcW w:w="5272" w:type="dxa"/>
            <w:tcBorders>
              <w:bottom w:val="single" w:sz="4" w:space="0" w:color="auto"/>
            </w:tcBorders>
            <w:shd w:val="clear" w:color="auto" w:fill="auto"/>
          </w:tcPr>
          <w:p w14:paraId="176736E6" w14:textId="528D4793" w:rsidR="00C42D38" w:rsidRPr="001977EE" w:rsidRDefault="00C42D38" w:rsidP="003F7B8C">
            <w:pPr>
              <w:spacing w:before="120"/>
              <w:rPr>
                <w:rFonts w:ascii="Arial" w:hAnsi="Arial" w:cs="Arial"/>
              </w:rPr>
            </w:pPr>
            <w:r w:rsidRPr="001977EE">
              <w:rPr>
                <w:rFonts w:ascii="Arial" w:hAnsi="Arial" w:cs="Arial"/>
              </w:rPr>
              <w:t xml:space="preserve">Including but not limited to: </w:t>
            </w:r>
          </w:p>
          <w:p w14:paraId="6DB1D983" w14:textId="095A600E" w:rsidR="00C42D38" w:rsidRPr="001977EE" w:rsidRDefault="00021048" w:rsidP="002E52E2">
            <w:pPr>
              <w:pStyle w:val="a"/>
              <w:framePr w:hSpace="0" w:wrap="auto" w:vAnchor="margin" w:yAlign="inline"/>
              <w:numPr>
                <w:ilvl w:val="0"/>
                <w:numId w:val="31"/>
              </w:numPr>
              <w:spacing w:before="120"/>
              <w:suppressOverlap w:val="0"/>
            </w:pPr>
            <w:r w:rsidRPr="001977EE">
              <w:t>w</w:t>
            </w:r>
            <w:r w:rsidR="00C42D38" w:rsidRPr="001977EE">
              <w:t>ater, air and land use, including emissions and pollution</w:t>
            </w:r>
            <w:r w:rsidRPr="001977EE">
              <w:t>;</w:t>
            </w:r>
          </w:p>
          <w:p w14:paraId="5AF26D20" w14:textId="6B239BC7" w:rsidR="00C42D38" w:rsidRPr="001977EE" w:rsidRDefault="00021048" w:rsidP="002E52E2">
            <w:pPr>
              <w:pStyle w:val="a"/>
              <w:framePr w:hSpace="0" w:wrap="auto" w:vAnchor="margin" w:yAlign="inline"/>
              <w:numPr>
                <w:ilvl w:val="0"/>
                <w:numId w:val="31"/>
              </w:numPr>
              <w:spacing w:before="120"/>
              <w:suppressOverlap w:val="0"/>
            </w:pPr>
            <w:r w:rsidRPr="001977EE">
              <w:t>w</w:t>
            </w:r>
            <w:r w:rsidR="00C42D38" w:rsidRPr="001977EE">
              <w:t>ater services and quality</w:t>
            </w:r>
            <w:r w:rsidRPr="001977EE">
              <w:t>;</w:t>
            </w:r>
          </w:p>
          <w:p w14:paraId="21514C41" w14:textId="501BFEF4" w:rsidR="00C42D38" w:rsidRPr="001977EE" w:rsidRDefault="00021048" w:rsidP="002E52E2">
            <w:pPr>
              <w:pStyle w:val="a"/>
              <w:framePr w:hSpace="0" w:wrap="auto" w:vAnchor="margin" w:yAlign="inline"/>
              <w:numPr>
                <w:ilvl w:val="0"/>
                <w:numId w:val="31"/>
              </w:numPr>
              <w:spacing w:before="120"/>
              <w:suppressOverlap w:val="0"/>
            </w:pPr>
            <w:r w:rsidRPr="001977EE">
              <w:t>f</w:t>
            </w:r>
            <w:r w:rsidR="00C42D38" w:rsidRPr="001977EE">
              <w:t>looding</w:t>
            </w:r>
            <w:r w:rsidRPr="001977EE">
              <w:t>;</w:t>
            </w:r>
          </w:p>
          <w:p w14:paraId="46E7151B" w14:textId="5D10B294" w:rsidR="00C42D38" w:rsidRPr="001977EE" w:rsidRDefault="00021048" w:rsidP="002E52E2">
            <w:pPr>
              <w:pStyle w:val="a"/>
              <w:framePr w:hSpace="0" w:wrap="auto" w:vAnchor="margin" w:yAlign="inline"/>
              <w:numPr>
                <w:ilvl w:val="0"/>
                <w:numId w:val="31"/>
              </w:numPr>
              <w:spacing w:before="120"/>
              <w:suppressOverlap w:val="0"/>
            </w:pPr>
            <w:r w:rsidRPr="001977EE">
              <w:t>w</w:t>
            </w:r>
            <w:r w:rsidR="00C42D38" w:rsidRPr="001977EE">
              <w:t>aste and recycling</w:t>
            </w:r>
            <w:r w:rsidRPr="001977EE">
              <w:t>;</w:t>
            </w:r>
          </w:p>
          <w:p w14:paraId="2A218F31" w14:textId="649FACBB" w:rsidR="00C42D38" w:rsidRPr="001977EE" w:rsidRDefault="00021048" w:rsidP="002E52E2">
            <w:pPr>
              <w:pStyle w:val="a"/>
              <w:framePr w:hSpace="0" w:wrap="auto" w:vAnchor="margin" w:yAlign="inline"/>
              <w:numPr>
                <w:ilvl w:val="0"/>
                <w:numId w:val="31"/>
              </w:numPr>
              <w:spacing w:before="120"/>
              <w:suppressOverlap w:val="0"/>
            </w:pPr>
            <w:r w:rsidRPr="001977EE">
              <w:t>f</w:t>
            </w:r>
            <w:r w:rsidR="00C42D38" w:rsidRPr="001977EE">
              <w:t>isheries and marine</w:t>
            </w:r>
            <w:r w:rsidRPr="001977EE">
              <w:t>;</w:t>
            </w:r>
          </w:p>
          <w:p w14:paraId="647F113B" w14:textId="5CB28163" w:rsidR="00C42D38" w:rsidRPr="001977EE" w:rsidRDefault="00021048" w:rsidP="002E52E2">
            <w:pPr>
              <w:pStyle w:val="a"/>
              <w:framePr w:hSpace="0" w:wrap="auto" w:vAnchor="margin" w:yAlign="inline"/>
              <w:numPr>
                <w:ilvl w:val="0"/>
                <w:numId w:val="31"/>
              </w:numPr>
              <w:spacing w:before="120"/>
              <w:suppressOverlap w:val="0"/>
            </w:pPr>
            <w:r w:rsidRPr="001977EE">
              <w:t>f</w:t>
            </w:r>
            <w:r w:rsidR="00C42D38" w:rsidRPr="001977EE">
              <w:t>ood and farming</w:t>
            </w:r>
            <w:r w:rsidRPr="001977EE">
              <w:t>;</w:t>
            </w:r>
          </w:p>
          <w:p w14:paraId="79C4FABE" w14:textId="606D6E72" w:rsidR="00C42D38" w:rsidRPr="001977EE" w:rsidRDefault="00021048" w:rsidP="002E52E2">
            <w:pPr>
              <w:pStyle w:val="a"/>
              <w:framePr w:hSpace="0" w:wrap="auto" w:vAnchor="margin" w:yAlign="inline"/>
              <w:numPr>
                <w:ilvl w:val="0"/>
                <w:numId w:val="31"/>
              </w:numPr>
              <w:spacing w:before="120"/>
              <w:suppressOverlap w:val="0"/>
            </w:pPr>
            <w:r w:rsidRPr="001977EE">
              <w:t>a</w:t>
            </w:r>
            <w:r w:rsidR="00C42D38" w:rsidRPr="001977EE">
              <w:t>nimal and plant health and animal welfare</w:t>
            </w:r>
            <w:r w:rsidRPr="001977EE">
              <w:t>; and</w:t>
            </w:r>
          </w:p>
          <w:p w14:paraId="14D443F6" w14:textId="28ACD454" w:rsidR="00C42D38" w:rsidRPr="001977EE" w:rsidRDefault="00021048" w:rsidP="002E52E2">
            <w:pPr>
              <w:pStyle w:val="a"/>
              <w:framePr w:hSpace="0" w:wrap="auto" w:vAnchor="margin" w:yAlign="inline"/>
              <w:numPr>
                <w:ilvl w:val="0"/>
                <w:numId w:val="31"/>
              </w:numPr>
              <w:spacing w:before="120"/>
              <w:suppressOverlap w:val="0"/>
            </w:pPr>
            <w:proofErr w:type="gramStart"/>
            <w:r w:rsidRPr="001977EE">
              <w:t>w</w:t>
            </w:r>
            <w:r w:rsidR="00C42D38" w:rsidRPr="001977EE">
              <w:t>ildlife</w:t>
            </w:r>
            <w:proofErr w:type="gramEnd"/>
            <w:r w:rsidRPr="001977EE">
              <w:t>.</w:t>
            </w:r>
          </w:p>
        </w:tc>
      </w:tr>
      <w:tr w:rsidR="001977EE" w:rsidRPr="001977EE" w14:paraId="180CC8F7" w14:textId="77777777" w:rsidTr="00021048">
        <w:trPr>
          <w:trHeight w:val="2221"/>
        </w:trPr>
        <w:tc>
          <w:tcPr>
            <w:tcW w:w="1242" w:type="dxa"/>
            <w:tcBorders>
              <w:bottom w:val="single" w:sz="4" w:space="0" w:color="auto"/>
            </w:tcBorders>
          </w:tcPr>
          <w:p w14:paraId="682369F6" w14:textId="39734CB3" w:rsidR="00C2378D" w:rsidRPr="001977EE" w:rsidRDefault="00C2378D" w:rsidP="00C2378D">
            <w:pPr>
              <w:spacing w:before="120"/>
              <w:jc w:val="center"/>
              <w:rPr>
                <w:rFonts w:ascii="Arial" w:hAnsi="Arial" w:cs="Arial"/>
              </w:rPr>
            </w:pPr>
            <w:r w:rsidRPr="001977EE">
              <w:rPr>
                <w:rFonts w:ascii="Arial" w:hAnsi="Arial" w:cs="Arial"/>
              </w:rPr>
              <w:t>5</w:t>
            </w:r>
          </w:p>
        </w:tc>
        <w:tc>
          <w:tcPr>
            <w:tcW w:w="2694" w:type="dxa"/>
            <w:tcBorders>
              <w:bottom w:val="single" w:sz="4" w:space="0" w:color="auto"/>
            </w:tcBorders>
          </w:tcPr>
          <w:p w14:paraId="31A4EBA5" w14:textId="291D1148" w:rsidR="00C2378D" w:rsidRPr="001977EE" w:rsidRDefault="00C2378D" w:rsidP="00C2378D">
            <w:pPr>
              <w:spacing w:before="120"/>
              <w:rPr>
                <w:rFonts w:ascii="Arial" w:hAnsi="Arial" w:cs="Arial"/>
                <w:b/>
              </w:rPr>
            </w:pPr>
            <w:r w:rsidRPr="001977EE">
              <w:rPr>
                <w:rFonts w:ascii="Arial" w:hAnsi="Arial" w:cs="Arial"/>
                <w:b/>
              </w:rPr>
              <w:t>Franchise law</w:t>
            </w:r>
          </w:p>
        </w:tc>
        <w:tc>
          <w:tcPr>
            <w:tcW w:w="5272" w:type="dxa"/>
            <w:tcBorders>
              <w:bottom w:val="single" w:sz="4" w:space="0" w:color="auto"/>
            </w:tcBorders>
            <w:shd w:val="clear" w:color="auto" w:fill="auto"/>
          </w:tcPr>
          <w:p w14:paraId="5B2CBB6A" w14:textId="77777777" w:rsidR="00C2378D" w:rsidRPr="001977EE" w:rsidRDefault="00C2378D" w:rsidP="00C2378D">
            <w:pPr>
              <w:spacing w:before="120"/>
              <w:rPr>
                <w:rFonts w:ascii="Arial" w:hAnsi="Arial" w:cs="Arial"/>
              </w:rPr>
            </w:pPr>
            <w:r w:rsidRPr="001977EE">
              <w:rPr>
                <w:rFonts w:ascii="Arial" w:hAnsi="Arial" w:cs="Arial"/>
              </w:rPr>
              <w:t xml:space="preserve">All aspects of franchise law including but not limited to: </w:t>
            </w:r>
          </w:p>
          <w:p w14:paraId="5E1EBD8E" w14:textId="77777777" w:rsidR="00C2378D" w:rsidRPr="001977EE" w:rsidRDefault="00C2378D" w:rsidP="002E52E2">
            <w:pPr>
              <w:pStyle w:val="a"/>
              <w:framePr w:hSpace="0" w:wrap="auto" w:vAnchor="margin" w:yAlign="inline"/>
              <w:numPr>
                <w:ilvl w:val="0"/>
                <w:numId w:val="33"/>
              </w:numPr>
              <w:suppressOverlap w:val="0"/>
            </w:pPr>
            <w:r w:rsidRPr="001977EE">
              <w:t>the design and establishment of franchise arrangements; and</w:t>
            </w:r>
          </w:p>
          <w:p w14:paraId="1EF0D449" w14:textId="5C5AC794" w:rsidR="00C2378D" w:rsidRPr="001977EE" w:rsidRDefault="00C2378D" w:rsidP="002E52E2">
            <w:pPr>
              <w:pStyle w:val="a"/>
              <w:framePr w:hSpace="0" w:wrap="auto" w:vAnchor="margin" w:yAlign="inline"/>
              <w:numPr>
                <w:ilvl w:val="0"/>
                <w:numId w:val="33"/>
              </w:numPr>
              <w:suppressOverlap w:val="0"/>
            </w:pPr>
            <w:r w:rsidRPr="001977EE">
              <w:t xml:space="preserve"> </w:t>
            </w:r>
            <w:proofErr w:type="gramStart"/>
            <w:r w:rsidRPr="001977EE">
              <w:t>advice</w:t>
            </w:r>
            <w:proofErr w:type="gramEnd"/>
            <w:r w:rsidRPr="001977EE">
              <w:t xml:space="preserve"> on contentious and non-contentious aspects of franchise agreements.</w:t>
            </w:r>
          </w:p>
        </w:tc>
      </w:tr>
      <w:tr w:rsidR="001977EE" w:rsidRPr="001977EE" w14:paraId="6CBF37BD" w14:textId="77777777" w:rsidTr="00D50D58">
        <w:tc>
          <w:tcPr>
            <w:tcW w:w="1242" w:type="dxa"/>
            <w:tcBorders>
              <w:bottom w:val="single" w:sz="4" w:space="0" w:color="auto"/>
            </w:tcBorders>
          </w:tcPr>
          <w:p w14:paraId="0372EEF1" w14:textId="2812D652" w:rsidR="00C2378D" w:rsidRPr="001977EE" w:rsidRDefault="00290483" w:rsidP="00C2378D">
            <w:pPr>
              <w:spacing w:before="120"/>
              <w:jc w:val="center"/>
              <w:rPr>
                <w:rFonts w:ascii="Arial" w:hAnsi="Arial" w:cs="Arial"/>
              </w:rPr>
            </w:pPr>
            <w:r w:rsidRPr="001977EE">
              <w:rPr>
                <w:rFonts w:ascii="Arial" w:hAnsi="Arial" w:cs="Arial"/>
              </w:rPr>
              <w:t>6</w:t>
            </w:r>
          </w:p>
        </w:tc>
        <w:tc>
          <w:tcPr>
            <w:tcW w:w="2694" w:type="dxa"/>
            <w:tcBorders>
              <w:bottom w:val="single" w:sz="4" w:space="0" w:color="auto"/>
            </w:tcBorders>
          </w:tcPr>
          <w:p w14:paraId="65AB0FC2" w14:textId="28BD5BAE" w:rsidR="00C2378D" w:rsidRPr="001977EE" w:rsidRDefault="00C2378D" w:rsidP="00C2378D">
            <w:pPr>
              <w:spacing w:before="120"/>
              <w:rPr>
                <w:rFonts w:ascii="Arial" w:hAnsi="Arial" w:cs="Arial"/>
                <w:b/>
              </w:rPr>
            </w:pPr>
            <w:r w:rsidRPr="001977EE">
              <w:rPr>
                <w:rFonts w:ascii="Arial" w:hAnsi="Arial" w:cs="Arial"/>
                <w:b/>
              </w:rPr>
              <w:t>Health and Healthcare</w:t>
            </w:r>
          </w:p>
        </w:tc>
        <w:tc>
          <w:tcPr>
            <w:tcW w:w="5272" w:type="dxa"/>
            <w:tcBorders>
              <w:bottom w:val="single" w:sz="4" w:space="0" w:color="auto"/>
            </w:tcBorders>
            <w:shd w:val="clear" w:color="auto" w:fill="auto"/>
          </w:tcPr>
          <w:p w14:paraId="0763C6EB" w14:textId="77777777" w:rsidR="00C2378D" w:rsidRPr="001977EE" w:rsidRDefault="00C2378D" w:rsidP="00AD2426">
            <w:pPr>
              <w:spacing w:before="120"/>
              <w:rPr>
                <w:rFonts w:cs="Arial"/>
              </w:rPr>
            </w:pPr>
            <w:r w:rsidRPr="001977EE">
              <w:rPr>
                <w:rFonts w:ascii="Arial" w:hAnsi="Arial" w:cs="Arial"/>
              </w:rPr>
              <w:t>Healthcare including but not limited to healthcare commissioning, all transactional, litigious and regulatory issues relating to Central Government and the NHS.</w:t>
            </w:r>
          </w:p>
          <w:p w14:paraId="07128684" w14:textId="470CC311" w:rsidR="00C2378D" w:rsidRPr="001977EE" w:rsidRDefault="00C2378D" w:rsidP="00C2378D">
            <w:pPr>
              <w:spacing w:before="120"/>
              <w:rPr>
                <w:rFonts w:ascii="Arial" w:hAnsi="Arial" w:cs="Arial"/>
              </w:rPr>
            </w:pPr>
            <w:r w:rsidRPr="001977EE">
              <w:rPr>
                <w:rFonts w:ascii="Arial" w:hAnsi="Arial" w:cs="Arial"/>
              </w:rPr>
              <w:t>Excluding personal injury, mental health law.</w:t>
            </w:r>
          </w:p>
        </w:tc>
      </w:tr>
      <w:tr w:rsidR="001977EE" w:rsidRPr="001977EE" w14:paraId="5498332B" w14:textId="77777777" w:rsidTr="00D50D58">
        <w:tc>
          <w:tcPr>
            <w:tcW w:w="1242" w:type="dxa"/>
            <w:tcBorders>
              <w:bottom w:val="single" w:sz="4" w:space="0" w:color="auto"/>
            </w:tcBorders>
          </w:tcPr>
          <w:p w14:paraId="1EAB763A" w14:textId="75B4BDE2" w:rsidR="00290483" w:rsidRPr="001977EE" w:rsidRDefault="00290483" w:rsidP="00290483">
            <w:pPr>
              <w:spacing w:before="120"/>
              <w:jc w:val="center"/>
              <w:rPr>
                <w:rFonts w:ascii="Arial" w:hAnsi="Arial" w:cs="Arial"/>
              </w:rPr>
            </w:pPr>
            <w:r w:rsidRPr="001977EE">
              <w:rPr>
                <w:rFonts w:ascii="Arial" w:hAnsi="Arial" w:cs="Arial"/>
              </w:rPr>
              <w:t>7</w:t>
            </w:r>
          </w:p>
        </w:tc>
        <w:tc>
          <w:tcPr>
            <w:tcW w:w="2694" w:type="dxa"/>
            <w:tcBorders>
              <w:bottom w:val="single" w:sz="4" w:space="0" w:color="auto"/>
            </w:tcBorders>
          </w:tcPr>
          <w:p w14:paraId="32E36072" w14:textId="2A470525" w:rsidR="00290483" w:rsidRPr="001977EE" w:rsidRDefault="00290483" w:rsidP="00290483">
            <w:pPr>
              <w:spacing w:before="120"/>
              <w:rPr>
                <w:rFonts w:ascii="Arial" w:hAnsi="Arial" w:cs="Arial"/>
                <w:b/>
              </w:rPr>
            </w:pPr>
            <w:r w:rsidRPr="001977EE">
              <w:rPr>
                <w:rFonts w:ascii="Arial" w:hAnsi="Arial" w:cs="Arial"/>
                <w:b/>
              </w:rPr>
              <w:t>Health and safety</w:t>
            </w:r>
          </w:p>
        </w:tc>
        <w:tc>
          <w:tcPr>
            <w:tcW w:w="5272" w:type="dxa"/>
            <w:tcBorders>
              <w:bottom w:val="single" w:sz="4" w:space="0" w:color="auto"/>
            </w:tcBorders>
            <w:shd w:val="clear" w:color="auto" w:fill="auto"/>
          </w:tcPr>
          <w:p w14:paraId="019D2F9E" w14:textId="77777777" w:rsidR="00290483" w:rsidRPr="001977EE" w:rsidRDefault="00290483" w:rsidP="00290483">
            <w:pPr>
              <w:spacing w:before="120"/>
              <w:rPr>
                <w:rFonts w:ascii="Arial" w:hAnsi="Arial" w:cs="Arial"/>
              </w:rPr>
            </w:pPr>
            <w:r w:rsidRPr="001977EE">
              <w:rPr>
                <w:rFonts w:ascii="Arial" w:hAnsi="Arial" w:cs="Arial"/>
              </w:rPr>
              <w:t xml:space="preserve">All aspects of health and safety law including but not limited to: </w:t>
            </w:r>
          </w:p>
          <w:p w14:paraId="57F7B2EE" w14:textId="06386558" w:rsidR="00290483" w:rsidRPr="001977EE" w:rsidRDefault="00290483" w:rsidP="002E52E2">
            <w:pPr>
              <w:pStyle w:val="a"/>
              <w:framePr w:hSpace="0" w:wrap="auto" w:vAnchor="margin" w:yAlign="inline"/>
              <w:numPr>
                <w:ilvl w:val="0"/>
                <w:numId w:val="34"/>
              </w:numPr>
              <w:suppressOverlap w:val="0"/>
            </w:pPr>
            <w:proofErr w:type="gramStart"/>
            <w:r w:rsidRPr="001977EE">
              <w:rPr>
                <w:rStyle w:val="aChar"/>
              </w:rPr>
              <w:t>contentious</w:t>
            </w:r>
            <w:proofErr w:type="gramEnd"/>
            <w:r w:rsidRPr="001977EE">
              <w:rPr>
                <w:rStyle w:val="aChar"/>
              </w:rPr>
              <w:t xml:space="preserve"> and non-contentious health and safety matters, including regulatory and criminal investigations, public inquests, health and safety at work, food safety, fire safety and  associated issues</w:t>
            </w:r>
            <w:r w:rsidRPr="001977EE">
              <w:t>.</w:t>
            </w:r>
          </w:p>
        </w:tc>
      </w:tr>
      <w:tr w:rsidR="001977EE" w:rsidRPr="001977EE" w14:paraId="7964BD10" w14:textId="77777777" w:rsidTr="00D50D58">
        <w:tc>
          <w:tcPr>
            <w:tcW w:w="1242" w:type="dxa"/>
            <w:tcBorders>
              <w:bottom w:val="single" w:sz="4" w:space="0" w:color="auto"/>
            </w:tcBorders>
          </w:tcPr>
          <w:p w14:paraId="5BC2A937" w14:textId="4E594383" w:rsidR="00290483" w:rsidRPr="001977EE" w:rsidRDefault="00290483" w:rsidP="00290483">
            <w:pPr>
              <w:spacing w:before="120"/>
              <w:jc w:val="center"/>
              <w:rPr>
                <w:rFonts w:ascii="Arial" w:hAnsi="Arial" w:cs="Arial"/>
              </w:rPr>
            </w:pPr>
            <w:r w:rsidRPr="001977EE">
              <w:rPr>
                <w:rFonts w:ascii="Arial" w:hAnsi="Arial" w:cs="Arial"/>
              </w:rPr>
              <w:t>8</w:t>
            </w:r>
          </w:p>
        </w:tc>
        <w:tc>
          <w:tcPr>
            <w:tcW w:w="2694" w:type="dxa"/>
            <w:tcBorders>
              <w:bottom w:val="single" w:sz="4" w:space="0" w:color="auto"/>
            </w:tcBorders>
          </w:tcPr>
          <w:p w14:paraId="7ECA39EE" w14:textId="6B454706" w:rsidR="00290483" w:rsidRPr="001977EE" w:rsidRDefault="00290483" w:rsidP="00290483">
            <w:pPr>
              <w:spacing w:before="120"/>
              <w:rPr>
                <w:rFonts w:ascii="Arial" w:hAnsi="Arial" w:cs="Arial"/>
                <w:b/>
              </w:rPr>
            </w:pPr>
            <w:r w:rsidRPr="001977EE">
              <w:rPr>
                <w:rFonts w:ascii="Arial" w:hAnsi="Arial" w:cs="Arial"/>
                <w:b/>
              </w:rPr>
              <w:t>Life sciences</w:t>
            </w:r>
          </w:p>
        </w:tc>
        <w:tc>
          <w:tcPr>
            <w:tcW w:w="5272" w:type="dxa"/>
            <w:tcBorders>
              <w:bottom w:val="single" w:sz="4" w:space="0" w:color="auto"/>
            </w:tcBorders>
            <w:shd w:val="clear" w:color="auto" w:fill="auto"/>
          </w:tcPr>
          <w:p w14:paraId="671A5CBD" w14:textId="4C70E330" w:rsidR="00290483" w:rsidRPr="001977EE" w:rsidRDefault="00290483" w:rsidP="00290483">
            <w:pPr>
              <w:spacing w:before="120"/>
              <w:rPr>
                <w:rFonts w:ascii="Arial" w:hAnsi="Arial" w:cs="Arial"/>
              </w:rPr>
            </w:pPr>
            <w:r w:rsidRPr="001977EE">
              <w:rPr>
                <w:rFonts w:ascii="Arial" w:hAnsi="Arial" w:cs="Arial"/>
              </w:rPr>
              <w:t>Life Sciences including but not limited to all transactional, litigious and regulatory issues relating to issues, pharmaceuticals, medical devices and biotechnology including licensing and acquisition of new products.</w:t>
            </w:r>
          </w:p>
        </w:tc>
      </w:tr>
      <w:tr w:rsidR="001977EE" w:rsidRPr="001977EE" w14:paraId="50034E41" w14:textId="77777777" w:rsidTr="00D50D58">
        <w:tc>
          <w:tcPr>
            <w:tcW w:w="1242" w:type="dxa"/>
            <w:tcBorders>
              <w:bottom w:val="single" w:sz="4" w:space="0" w:color="auto"/>
            </w:tcBorders>
          </w:tcPr>
          <w:p w14:paraId="6CCFD67A" w14:textId="30FD6905" w:rsidR="00290483" w:rsidRPr="001977EE" w:rsidRDefault="00290483" w:rsidP="00290483">
            <w:pPr>
              <w:spacing w:before="120"/>
              <w:jc w:val="center"/>
              <w:rPr>
                <w:rFonts w:ascii="Arial" w:hAnsi="Arial" w:cs="Arial"/>
              </w:rPr>
            </w:pPr>
            <w:r w:rsidRPr="001977EE">
              <w:rPr>
                <w:rFonts w:ascii="Arial" w:hAnsi="Arial" w:cs="Arial"/>
              </w:rPr>
              <w:t>9</w:t>
            </w:r>
          </w:p>
        </w:tc>
        <w:tc>
          <w:tcPr>
            <w:tcW w:w="2694" w:type="dxa"/>
            <w:tcBorders>
              <w:bottom w:val="single" w:sz="4" w:space="0" w:color="auto"/>
            </w:tcBorders>
          </w:tcPr>
          <w:p w14:paraId="28B5F910" w14:textId="55E27C85" w:rsidR="00290483" w:rsidRPr="001977EE" w:rsidRDefault="00290483" w:rsidP="00290483">
            <w:pPr>
              <w:spacing w:before="120"/>
              <w:rPr>
                <w:rFonts w:ascii="Arial" w:hAnsi="Arial" w:cs="Arial"/>
                <w:b/>
              </w:rPr>
            </w:pPr>
            <w:r w:rsidRPr="001977EE">
              <w:rPr>
                <w:rFonts w:ascii="Arial" w:hAnsi="Arial" w:cs="Arial"/>
                <w:b/>
              </w:rPr>
              <w:t>Public inquiries and inquests</w:t>
            </w:r>
          </w:p>
        </w:tc>
        <w:tc>
          <w:tcPr>
            <w:tcW w:w="5272" w:type="dxa"/>
            <w:tcBorders>
              <w:bottom w:val="single" w:sz="4" w:space="0" w:color="auto"/>
            </w:tcBorders>
            <w:shd w:val="clear" w:color="auto" w:fill="auto"/>
          </w:tcPr>
          <w:p w14:paraId="6820A42A" w14:textId="77777777" w:rsidR="00290483" w:rsidRPr="001977EE" w:rsidRDefault="00290483" w:rsidP="00290483">
            <w:pPr>
              <w:spacing w:before="120"/>
              <w:rPr>
                <w:rFonts w:ascii="Arial" w:hAnsi="Arial" w:cs="Arial"/>
              </w:rPr>
            </w:pPr>
            <w:r w:rsidRPr="001977EE">
              <w:rPr>
                <w:rFonts w:ascii="Arial" w:hAnsi="Arial" w:cs="Arial"/>
              </w:rPr>
              <w:t xml:space="preserve">Public inquiries and inquests including but not limited to: </w:t>
            </w:r>
          </w:p>
          <w:p w14:paraId="4746D8CB" w14:textId="257B819C" w:rsidR="00290483" w:rsidRPr="001977EE" w:rsidRDefault="00021048" w:rsidP="002E52E2">
            <w:pPr>
              <w:pStyle w:val="a"/>
              <w:framePr w:hSpace="0" w:wrap="auto" w:vAnchor="margin" w:yAlign="inline"/>
              <w:numPr>
                <w:ilvl w:val="0"/>
                <w:numId w:val="32"/>
              </w:numPr>
              <w:spacing w:before="120"/>
              <w:suppressOverlap w:val="0"/>
            </w:pPr>
            <w:r w:rsidRPr="001977EE">
              <w:t>a</w:t>
            </w:r>
            <w:r w:rsidR="00290483" w:rsidRPr="001977EE">
              <w:t xml:space="preserve">cting as the solicitor to public inquiries (statutory and non-statutory) and inquests </w:t>
            </w:r>
            <w:r w:rsidR="00290483" w:rsidRPr="001977EE">
              <w:lastRenderedPageBreak/>
              <w:t>including: carrying out the role of a solicitor under the Inquiry Act 2005 and Inquiry Rules 2006 including in relation to the assessment of awards of legal costs to core participants; providing legal advice and support to Inquiry Chairs on all legal aspects relating to the inquiry; instructing and working with Inquiry Counsel and monitoring the Inquiry’s own legal spend;  management and collation of documentation including the maintenance of the Inquiry record, the provision and management of virtual data rooms and/or e-disclosure, and facilitating the transfer of the inquiry record to the appropriate public record office; devising and implementing fair and robust procedures and protocols for the conduct of the inquiry; conducting the response to any judicial review brought against the Inquiry Chair</w:t>
            </w:r>
            <w:r w:rsidRPr="001977EE">
              <w:t>;</w:t>
            </w:r>
          </w:p>
          <w:p w14:paraId="03F7AF0E" w14:textId="2E7D636A" w:rsidR="00290483" w:rsidRPr="001977EE" w:rsidRDefault="00021048" w:rsidP="002E52E2">
            <w:pPr>
              <w:pStyle w:val="a"/>
              <w:framePr w:hSpace="0" w:wrap="auto" w:vAnchor="margin" w:yAlign="inline"/>
              <w:numPr>
                <w:ilvl w:val="0"/>
                <w:numId w:val="32"/>
              </w:numPr>
              <w:spacing w:before="120"/>
              <w:suppressOverlap w:val="0"/>
            </w:pPr>
            <w:r w:rsidRPr="001977EE">
              <w:t>p</w:t>
            </w:r>
            <w:r w:rsidR="00290483" w:rsidRPr="001977EE">
              <w:t>roviding legal support to serving and former ministers and civil servants responding to inquiries and inquests where a conflict prevents the GLD from doing so, including taking witness statements, providing legal advice and support, instructing counsel to represent the interests of individual witnesses where required, advising on and responding to warning letters.</w:t>
            </w:r>
          </w:p>
        </w:tc>
      </w:tr>
      <w:tr w:rsidR="001977EE" w:rsidRPr="001977EE" w14:paraId="12BA3A94" w14:textId="77777777" w:rsidTr="00D50D58">
        <w:tc>
          <w:tcPr>
            <w:tcW w:w="1242" w:type="dxa"/>
            <w:tcBorders>
              <w:bottom w:val="single" w:sz="4" w:space="0" w:color="auto"/>
            </w:tcBorders>
          </w:tcPr>
          <w:p w14:paraId="21027AF8" w14:textId="59186D33" w:rsidR="00290483" w:rsidRPr="001977EE" w:rsidRDefault="00290483" w:rsidP="00290483">
            <w:pPr>
              <w:spacing w:before="120"/>
              <w:jc w:val="center"/>
              <w:rPr>
                <w:rFonts w:ascii="Arial" w:hAnsi="Arial" w:cs="Arial"/>
              </w:rPr>
            </w:pPr>
            <w:r w:rsidRPr="001977EE">
              <w:rPr>
                <w:rFonts w:ascii="Arial" w:hAnsi="Arial" w:cs="Arial"/>
              </w:rPr>
              <w:lastRenderedPageBreak/>
              <w:t>10</w:t>
            </w:r>
          </w:p>
        </w:tc>
        <w:tc>
          <w:tcPr>
            <w:tcW w:w="2694" w:type="dxa"/>
            <w:tcBorders>
              <w:bottom w:val="single" w:sz="4" w:space="0" w:color="auto"/>
            </w:tcBorders>
          </w:tcPr>
          <w:p w14:paraId="29DDE6DC" w14:textId="7C63F031" w:rsidR="00290483" w:rsidRPr="001977EE" w:rsidRDefault="00290483" w:rsidP="00290483">
            <w:pPr>
              <w:spacing w:before="120"/>
              <w:rPr>
                <w:rFonts w:ascii="Arial" w:hAnsi="Arial" w:cs="Arial"/>
                <w:b/>
              </w:rPr>
            </w:pPr>
            <w:r w:rsidRPr="001977EE">
              <w:rPr>
                <w:rFonts w:ascii="Arial" w:hAnsi="Arial" w:cs="Arial"/>
                <w:b/>
              </w:rPr>
              <w:t>Telecommunications</w:t>
            </w:r>
          </w:p>
        </w:tc>
        <w:tc>
          <w:tcPr>
            <w:tcW w:w="5272" w:type="dxa"/>
            <w:tcBorders>
              <w:bottom w:val="single" w:sz="4" w:space="0" w:color="auto"/>
            </w:tcBorders>
            <w:shd w:val="clear" w:color="auto" w:fill="auto"/>
          </w:tcPr>
          <w:p w14:paraId="40EE5832" w14:textId="77777777" w:rsidR="00290483" w:rsidRPr="001977EE" w:rsidRDefault="00290483" w:rsidP="00290483">
            <w:pPr>
              <w:spacing w:before="120"/>
              <w:rPr>
                <w:rFonts w:ascii="Arial" w:hAnsi="Arial" w:cs="Arial"/>
              </w:rPr>
            </w:pPr>
            <w:r w:rsidRPr="001977EE">
              <w:rPr>
                <w:rFonts w:ascii="Arial" w:hAnsi="Arial" w:cs="Arial"/>
              </w:rPr>
              <w:t xml:space="preserve">Telecommunications including but not limited to contentious and non-contentious advice and support on commercial, regulatory, compliance, transactional and intellectual property matters concerning telecommunications. </w:t>
            </w:r>
          </w:p>
        </w:tc>
      </w:tr>
      <w:tr w:rsidR="001977EE" w:rsidRPr="001977EE" w14:paraId="118F6AFC" w14:textId="77777777" w:rsidTr="00D50D58">
        <w:trPr>
          <w:trHeight w:val="1049"/>
        </w:trPr>
        <w:tc>
          <w:tcPr>
            <w:tcW w:w="1242" w:type="dxa"/>
          </w:tcPr>
          <w:p w14:paraId="291FF98E" w14:textId="7247B6BD" w:rsidR="00290483" w:rsidRPr="001977EE" w:rsidRDefault="00290483" w:rsidP="00290483">
            <w:pPr>
              <w:spacing w:before="120"/>
              <w:jc w:val="center"/>
              <w:rPr>
                <w:rFonts w:ascii="Arial" w:hAnsi="Arial" w:cs="Arial"/>
              </w:rPr>
            </w:pPr>
            <w:r w:rsidRPr="001977EE">
              <w:rPr>
                <w:rFonts w:ascii="Arial" w:hAnsi="Arial" w:cs="Arial"/>
              </w:rPr>
              <w:t>11</w:t>
            </w:r>
          </w:p>
        </w:tc>
        <w:tc>
          <w:tcPr>
            <w:tcW w:w="2694" w:type="dxa"/>
          </w:tcPr>
          <w:p w14:paraId="0D65ED07" w14:textId="7734369C" w:rsidR="00290483" w:rsidRPr="001977EE" w:rsidRDefault="00290483" w:rsidP="00290483">
            <w:pPr>
              <w:spacing w:before="120"/>
              <w:rPr>
                <w:rFonts w:ascii="Arial" w:hAnsi="Arial" w:cs="Arial"/>
                <w:b/>
              </w:rPr>
            </w:pPr>
            <w:r w:rsidRPr="001977EE">
              <w:rPr>
                <w:rFonts w:ascii="Arial" w:hAnsi="Arial" w:cs="Arial"/>
                <w:b/>
              </w:rPr>
              <w:t xml:space="preserve">The law of International trade, investment and regulation </w:t>
            </w:r>
          </w:p>
        </w:tc>
        <w:tc>
          <w:tcPr>
            <w:tcW w:w="5272" w:type="dxa"/>
            <w:shd w:val="clear" w:color="auto" w:fill="auto"/>
          </w:tcPr>
          <w:p w14:paraId="0FE2F9A2" w14:textId="28F895EB" w:rsidR="00290483" w:rsidRPr="001977EE" w:rsidRDefault="00290483" w:rsidP="00290483">
            <w:pPr>
              <w:spacing w:before="120"/>
              <w:rPr>
                <w:rFonts w:ascii="Arial" w:hAnsi="Arial" w:cs="Arial"/>
              </w:rPr>
            </w:pPr>
            <w:r w:rsidRPr="001977EE">
              <w:rPr>
                <w:rFonts w:ascii="Arial" w:hAnsi="Arial" w:cs="Arial"/>
              </w:rPr>
              <w:t xml:space="preserve">All aspects of the law and practice relating to international trade agreements, investments and associated regulations. </w:t>
            </w:r>
          </w:p>
        </w:tc>
      </w:tr>
      <w:tr w:rsidR="001977EE" w:rsidRPr="001977EE" w14:paraId="2FE5DC7B" w14:textId="77777777" w:rsidTr="00D50D58">
        <w:trPr>
          <w:trHeight w:val="824"/>
        </w:trPr>
        <w:tc>
          <w:tcPr>
            <w:tcW w:w="1242" w:type="dxa"/>
            <w:tcBorders>
              <w:bottom w:val="single" w:sz="4" w:space="0" w:color="auto"/>
            </w:tcBorders>
          </w:tcPr>
          <w:p w14:paraId="32B7AC83" w14:textId="0DB8A61D" w:rsidR="00290483" w:rsidRPr="001977EE" w:rsidRDefault="00290483" w:rsidP="00290483">
            <w:pPr>
              <w:spacing w:before="120"/>
              <w:jc w:val="center"/>
              <w:rPr>
                <w:rFonts w:ascii="Arial" w:hAnsi="Arial" w:cs="Arial"/>
              </w:rPr>
            </w:pPr>
            <w:r w:rsidRPr="001977EE">
              <w:rPr>
                <w:rFonts w:ascii="Arial" w:hAnsi="Arial" w:cs="Arial"/>
              </w:rPr>
              <w:t>12</w:t>
            </w:r>
          </w:p>
        </w:tc>
        <w:tc>
          <w:tcPr>
            <w:tcW w:w="2694" w:type="dxa"/>
            <w:tcBorders>
              <w:bottom w:val="single" w:sz="4" w:space="0" w:color="auto"/>
            </w:tcBorders>
          </w:tcPr>
          <w:p w14:paraId="460802B0" w14:textId="4AB5923B" w:rsidR="00290483" w:rsidRPr="001977EE" w:rsidRDefault="00290483" w:rsidP="00290483">
            <w:pPr>
              <w:spacing w:before="120"/>
              <w:rPr>
                <w:rFonts w:ascii="Arial" w:hAnsi="Arial" w:cs="Arial"/>
                <w:b/>
              </w:rPr>
            </w:pPr>
            <w:r w:rsidRPr="001977EE">
              <w:rPr>
                <w:rFonts w:ascii="Arial" w:hAnsi="Arial" w:cs="Arial"/>
                <w:b/>
              </w:rPr>
              <w:t>Public international law</w:t>
            </w:r>
          </w:p>
        </w:tc>
        <w:tc>
          <w:tcPr>
            <w:tcW w:w="5272" w:type="dxa"/>
            <w:tcBorders>
              <w:bottom w:val="single" w:sz="4" w:space="0" w:color="auto"/>
            </w:tcBorders>
            <w:shd w:val="clear" w:color="auto" w:fill="auto"/>
          </w:tcPr>
          <w:p w14:paraId="3C5BFC2B" w14:textId="5F62AE9B" w:rsidR="00290483" w:rsidRPr="001977EE" w:rsidRDefault="00290483" w:rsidP="00290483">
            <w:pPr>
              <w:spacing w:before="120"/>
              <w:rPr>
                <w:rFonts w:ascii="Arial" w:hAnsi="Arial" w:cs="Arial"/>
              </w:rPr>
            </w:pPr>
            <w:r w:rsidRPr="001977EE">
              <w:rPr>
                <w:rFonts w:ascii="Arial" w:hAnsi="Arial" w:cs="Arial"/>
              </w:rPr>
              <w:t>All aspects of public international law.</w:t>
            </w:r>
          </w:p>
        </w:tc>
      </w:tr>
    </w:tbl>
    <w:p w14:paraId="204832E0" w14:textId="77777777" w:rsidR="00C21D3C" w:rsidRPr="001977EE" w:rsidRDefault="00C21D3C" w:rsidP="006E2C2F"/>
    <w:sectPr w:rsidR="00C21D3C" w:rsidRPr="001977EE" w:rsidSect="009C226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09C4A" w14:textId="77777777" w:rsidR="00DB2320" w:rsidRDefault="00DB2320" w:rsidP="00526E39">
      <w:pPr>
        <w:spacing w:after="0" w:line="240" w:lineRule="auto"/>
      </w:pPr>
      <w:r>
        <w:separator/>
      </w:r>
    </w:p>
  </w:endnote>
  <w:endnote w:type="continuationSeparator" w:id="0">
    <w:p w14:paraId="4A0132A1" w14:textId="77777777" w:rsidR="00DB2320" w:rsidRDefault="00DB2320" w:rsidP="00526E39">
      <w:pPr>
        <w:spacing w:after="0" w:line="240" w:lineRule="auto"/>
      </w:pPr>
      <w:r>
        <w:continuationSeparator/>
      </w:r>
    </w:p>
  </w:endnote>
  <w:endnote w:type="continuationNotice" w:id="1">
    <w:p w14:paraId="3D4B1589" w14:textId="77777777" w:rsidR="00DB2320" w:rsidRDefault="00DB23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143988"/>
      <w:docPartObj>
        <w:docPartGallery w:val="Page Numbers (Bottom of Page)"/>
        <w:docPartUnique/>
      </w:docPartObj>
    </w:sdtPr>
    <w:sdtEndPr>
      <w:rPr>
        <w:noProof/>
      </w:rPr>
    </w:sdtEndPr>
    <w:sdtContent>
      <w:p w14:paraId="5CC49881" w14:textId="77777777" w:rsidR="0062362F" w:rsidRDefault="0062362F">
        <w:pPr>
          <w:pStyle w:val="Footer"/>
          <w:jc w:val="right"/>
        </w:pPr>
        <w:r>
          <w:fldChar w:fldCharType="begin"/>
        </w:r>
        <w:r>
          <w:instrText xml:space="preserve"> PAGE   \* MERGEFORMAT </w:instrText>
        </w:r>
        <w:r>
          <w:fldChar w:fldCharType="separate"/>
        </w:r>
        <w:r w:rsidR="001977EE">
          <w:rPr>
            <w:noProof/>
          </w:rPr>
          <w:t>1</w:t>
        </w:r>
        <w:r>
          <w:rPr>
            <w:noProof/>
          </w:rPr>
          <w:fldChar w:fldCharType="end"/>
        </w:r>
      </w:p>
    </w:sdtContent>
  </w:sdt>
  <w:p w14:paraId="7D1B7862" w14:textId="77777777" w:rsidR="0062362F" w:rsidRDefault="0062362F" w:rsidP="002F0388">
    <w:pPr>
      <w:pStyle w:val="Footer"/>
      <w:rPr>
        <w:rFonts w:ascii="Arial" w:hAnsi="Arial" w:cs="Arial"/>
        <w:sz w:val="16"/>
        <w:szCs w:val="16"/>
      </w:rPr>
    </w:pPr>
    <w:r w:rsidRPr="003F156D">
      <w:rPr>
        <w:rFonts w:ascii="Arial" w:hAnsi="Arial" w:cs="Arial"/>
        <w:sz w:val="16"/>
        <w:szCs w:val="16"/>
      </w:rPr>
      <w:t xml:space="preserve">RM3786 General Legal Services </w:t>
    </w:r>
  </w:p>
  <w:p w14:paraId="429760A0" w14:textId="30E3E23B" w:rsidR="0062362F" w:rsidRDefault="0062362F" w:rsidP="002F0388">
    <w:pPr>
      <w:pStyle w:val="Footer"/>
      <w:rPr>
        <w:rFonts w:ascii="Arial" w:hAnsi="Arial" w:cs="Arial"/>
        <w:sz w:val="16"/>
        <w:szCs w:val="16"/>
      </w:rPr>
    </w:pPr>
    <w:r>
      <w:rPr>
        <w:rFonts w:ascii="Arial" w:hAnsi="Arial" w:cs="Arial"/>
        <w:sz w:val="16"/>
        <w:szCs w:val="16"/>
      </w:rPr>
      <w:t>Attachment 7a Panel Agreement Schedule 2, Part A: Panel Services</w:t>
    </w:r>
  </w:p>
  <w:p w14:paraId="762F7149" w14:textId="3B7525E9" w:rsidR="0062362F" w:rsidRDefault="0062362F" w:rsidP="002F0388">
    <w:pPr>
      <w:pStyle w:val="Footer"/>
      <w:rPr>
        <w:rFonts w:ascii="Arial" w:hAnsi="Arial" w:cs="Arial"/>
        <w:sz w:val="16"/>
        <w:szCs w:val="16"/>
      </w:rPr>
    </w:pPr>
    <w:r>
      <w:rPr>
        <w:rFonts w:ascii="Arial" w:hAnsi="Arial" w:cs="Arial"/>
        <w:sz w:val="16"/>
        <w:szCs w:val="16"/>
      </w:rPr>
      <w:t>Version 4</w:t>
    </w:r>
  </w:p>
  <w:p w14:paraId="1860B28D" w14:textId="2CC42FC1" w:rsidR="0062362F" w:rsidRPr="007A6353" w:rsidRDefault="0062362F">
    <w:pPr>
      <w:pStyle w:val="Footer"/>
      <w:rPr>
        <w:sz w:val="18"/>
        <w:szCs w:val="18"/>
      </w:rPr>
    </w:pPr>
    <w:r w:rsidRPr="007A6353">
      <w:rPr>
        <w:rFonts w:ascii="Arial" w:hAnsi="Arial" w:cs="Arial"/>
        <w:color w:val="222222"/>
        <w:sz w:val="18"/>
        <w:szCs w:val="18"/>
        <w:shd w:val="clear" w:color="auto" w:fill="FFFFFF"/>
      </w:rPr>
      <w:t>© Crown copyright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570BA" w14:textId="77777777" w:rsidR="00DB2320" w:rsidRDefault="00DB2320" w:rsidP="00526E39">
      <w:pPr>
        <w:spacing w:after="0" w:line="240" w:lineRule="auto"/>
      </w:pPr>
      <w:r>
        <w:separator/>
      </w:r>
    </w:p>
  </w:footnote>
  <w:footnote w:type="continuationSeparator" w:id="0">
    <w:p w14:paraId="3ED0557A" w14:textId="77777777" w:rsidR="00DB2320" w:rsidRDefault="00DB2320" w:rsidP="00526E39">
      <w:pPr>
        <w:spacing w:after="0" w:line="240" w:lineRule="auto"/>
      </w:pPr>
      <w:r>
        <w:continuationSeparator/>
      </w:r>
    </w:p>
  </w:footnote>
  <w:footnote w:type="continuationNotice" w:id="1">
    <w:p w14:paraId="1E7A5C50" w14:textId="77777777" w:rsidR="00DB2320" w:rsidRDefault="00DB232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EDA614E"/>
    <w:lvl w:ilvl="0">
      <w:start w:val="1"/>
      <w:numFmt w:val="decimal"/>
      <w:pStyle w:val="ListNumber"/>
      <w:lvlText w:val="%1."/>
      <w:lvlJc w:val="left"/>
      <w:pPr>
        <w:tabs>
          <w:tab w:val="num" w:pos="1209"/>
        </w:tabs>
        <w:ind w:left="1209" w:hanging="360"/>
      </w:pPr>
      <w:rPr>
        <w:rFonts w:cs="Times New Roman"/>
      </w:rPr>
    </w:lvl>
  </w:abstractNum>
  <w:abstractNum w:abstractNumId="1" w15:restartNumberingAfterBreak="0">
    <w:nsid w:val="0ED07376"/>
    <w:multiLevelType w:val="hybridMultilevel"/>
    <w:tmpl w:val="045801D0"/>
    <w:lvl w:ilvl="0" w:tplc="F4D64C32">
      <w:start w:val="1"/>
      <w:numFmt w:val="decimal"/>
      <w:pStyle w:val="SM1"/>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576" w:hanging="576"/>
      </w:pPr>
      <w:rPr>
        <w:rFonts w:hint="default"/>
        <w:b w:val="0"/>
        <w:i w:val="0"/>
        <w:strike w:val="0"/>
        <w:color w:val="auto"/>
        <w:effect w:val="none"/>
      </w:rPr>
    </w:lvl>
    <w:lvl w:ilvl="2">
      <w:start w:val="1"/>
      <w:numFmt w:val="decimal"/>
      <w:pStyle w:val="Style111"/>
      <w:lvlText w:val="%1.%2.%3"/>
      <w:lvlJc w:val="left"/>
      <w:pPr>
        <w:ind w:left="1430" w:hanging="720"/>
      </w:pPr>
      <w:rPr>
        <w:rFonts w:ascii="Arial" w:hAnsi="Arial" w:cs="Arial" w:hint="default"/>
        <w:b w:val="0"/>
        <w:i w:val="0"/>
        <w:color w:val="auto"/>
        <w:effect w:val="none"/>
      </w:rPr>
    </w:lvl>
    <w:lvl w:ilvl="3">
      <w:start w:val="1"/>
      <w:numFmt w:val="decimal"/>
      <w:pStyle w:val="Style11211"/>
      <w:lvlText w:val="%1.%2.%3.%4"/>
      <w:lvlJc w:val="left"/>
      <w:pPr>
        <w:ind w:left="2849"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3"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2604CD"/>
    <w:multiLevelType w:val="multilevel"/>
    <w:tmpl w:val="AB4AA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A631AFF"/>
    <w:multiLevelType w:val="hybridMultilevel"/>
    <w:tmpl w:val="B986CE06"/>
    <w:lvl w:ilvl="0" w:tplc="71AE7EE2">
      <w:start w:val="1"/>
      <w:numFmt w:val="bullet"/>
      <w:pStyle w:val="dotStyleSM"/>
      <w:lvlText w:val=""/>
      <w:lvlJc w:val="left"/>
      <w:pPr>
        <w:ind w:left="3283" w:hanging="360"/>
      </w:pPr>
      <w:rPr>
        <w:rFonts w:ascii="Symbol" w:hAnsi="Symbol" w:hint="default"/>
      </w:rPr>
    </w:lvl>
    <w:lvl w:ilvl="1" w:tplc="08090003">
      <w:start w:val="1"/>
      <w:numFmt w:val="bullet"/>
      <w:lvlText w:val="o"/>
      <w:lvlJc w:val="left"/>
      <w:pPr>
        <w:ind w:left="4003" w:hanging="360"/>
      </w:pPr>
      <w:rPr>
        <w:rFonts w:ascii="Courier New" w:hAnsi="Courier New" w:cs="Courier New" w:hint="default"/>
      </w:rPr>
    </w:lvl>
    <w:lvl w:ilvl="2" w:tplc="08090005">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3B30E2"/>
    <w:multiLevelType w:val="hybridMultilevel"/>
    <w:tmpl w:val="DAFEE3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4A43AC4"/>
    <w:multiLevelType w:val="hybridMultilevel"/>
    <w:tmpl w:val="540CD46A"/>
    <w:lvl w:ilvl="0" w:tplc="232259DA">
      <w:start w:val="1"/>
      <w:numFmt w:val="lowerRoman"/>
      <w:lvlText w:val="(%1)"/>
      <w:lvlJc w:val="left"/>
      <w:pPr>
        <w:ind w:left="2150" w:hanging="720"/>
      </w:pPr>
      <w:rPr>
        <w:rFonts w:hint="default"/>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9" w15:restartNumberingAfterBreak="0">
    <w:nsid w:val="740E0240"/>
    <w:multiLevelType w:val="hybridMultilevel"/>
    <w:tmpl w:val="9B963E22"/>
    <w:lvl w:ilvl="0" w:tplc="0DBA008E">
      <w:start w:val="1"/>
      <w:numFmt w:val="lowerLetter"/>
      <w:pStyle w:val="a"/>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1F338E"/>
    <w:multiLevelType w:val="multilevel"/>
    <w:tmpl w:val="051670BA"/>
    <w:lvl w:ilvl="0">
      <w:start w:val="1"/>
      <w:numFmt w:val="decimal"/>
      <w:pStyle w:val="Heading1"/>
      <w:lvlText w:val="%1"/>
      <w:lvlJc w:val="left"/>
      <w:pPr>
        <w:ind w:left="432" w:hanging="432"/>
      </w:pPr>
    </w:lvl>
    <w:lvl w:ilvl="1">
      <w:start w:val="1"/>
      <w:numFmt w:val="decimal"/>
      <w:pStyle w:val="Heading2"/>
      <w:lvlText w:val="%1.%2"/>
      <w:lvlJc w:val="left"/>
      <w:pPr>
        <w:ind w:left="718" w:hanging="576"/>
      </w:pPr>
      <w:rPr>
        <w:b/>
        <w:sz w:val="22"/>
        <w:szCs w:val="22"/>
      </w:rPr>
    </w:lvl>
    <w:lvl w:ilvl="2">
      <w:start w:val="1"/>
      <w:numFmt w:val="decimal"/>
      <w:pStyle w:val="Heading3"/>
      <w:lvlText w:val="%1.%2.%3"/>
      <w:lvlJc w:val="left"/>
      <w:pPr>
        <w:ind w:left="1288" w:hanging="720"/>
      </w:pPr>
      <w:rPr>
        <w:b/>
        <w:sz w:val="22"/>
        <w:szCs w:val="22"/>
      </w:rPr>
    </w:lvl>
    <w:lvl w:ilvl="3">
      <w:start w:val="1"/>
      <w:numFmt w:val="decimal"/>
      <w:pStyle w:val="Heading4"/>
      <w:lvlText w:val="%1.%2.%3.%4"/>
      <w:lvlJc w:val="left"/>
      <w:pPr>
        <w:ind w:left="2424" w:hanging="864"/>
      </w:pPr>
      <w:rPr>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2"/>
  </w:num>
  <w:num w:numId="4">
    <w:abstractNumId w:val="10"/>
  </w:num>
  <w:num w:numId="5">
    <w:abstractNumId w:val="5"/>
  </w:num>
  <w:num w:numId="6">
    <w:abstractNumId w:val="7"/>
  </w:num>
  <w:num w:numId="7">
    <w:abstractNumId w:val="1"/>
    <w:lvlOverride w:ilvl="0">
      <w:startOverride w:val="1"/>
    </w:lvlOverride>
  </w:num>
  <w:num w:numId="8">
    <w:abstractNumId w:val="9"/>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num>
  <w:num w:numId="31">
    <w:abstractNumId w:val="9"/>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6"/>
  </w:num>
  <w:num w:numId="37">
    <w:abstractNumId w:val="3"/>
  </w:num>
  <w:num w:numId="38">
    <w:abstractNumId w:val="9"/>
    <w:lvlOverride w:ilvl="0">
      <w:startOverride w:val="1"/>
    </w:lvlOverride>
  </w:num>
  <w:num w:numId="39">
    <w:abstractNumId w:val="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2"/>
  </w:num>
  <w:num w:numId="47">
    <w:abstractNumId w:val="2"/>
  </w:num>
  <w:num w:numId="48">
    <w:abstractNumId w:val="2"/>
  </w:num>
  <w:num w:numId="49">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55"/>
    <w:rsid w:val="00001238"/>
    <w:rsid w:val="00002BF4"/>
    <w:rsid w:val="00005CE7"/>
    <w:rsid w:val="0000631D"/>
    <w:rsid w:val="00017163"/>
    <w:rsid w:val="00021048"/>
    <w:rsid w:val="000219A2"/>
    <w:rsid w:val="00025447"/>
    <w:rsid w:val="00026757"/>
    <w:rsid w:val="00030F31"/>
    <w:rsid w:val="000317B0"/>
    <w:rsid w:val="000319FD"/>
    <w:rsid w:val="00033494"/>
    <w:rsid w:val="000340B4"/>
    <w:rsid w:val="000356CD"/>
    <w:rsid w:val="000364F3"/>
    <w:rsid w:val="00043AAC"/>
    <w:rsid w:val="000466C0"/>
    <w:rsid w:val="00046E15"/>
    <w:rsid w:val="000538AA"/>
    <w:rsid w:val="00053BDD"/>
    <w:rsid w:val="000548E3"/>
    <w:rsid w:val="00054B7A"/>
    <w:rsid w:val="000554C2"/>
    <w:rsid w:val="000602B4"/>
    <w:rsid w:val="00062079"/>
    <w:rsid w:val="00063BEC"/>
    <w:rsid w:val="00065E78"/>
    <w:rsid w:val="00066160"/>
    <w:rsid w:val="00067D84"/>
    <w:rsid w:val="00071769"/>
    <w:rsid w:val="000746DB"/>
    <w:rsid w:val="00077CEA"/>
    <w:rsid w:val="00080727"/>
    <w:rsid w:val="00080D8B"/>
    <w:rsid w:val="00083414"/>
    <w:rsid w:val="0008704A"/>
    <w:rsid w:val="00087468"/>
    <w:rsid w:val="0008757A"/>
    <w:rsid w:val="00091A10"/>
    <w:rsid w:val="0009209C"/>
    <w:rsid w:val="00092F19"/>
    <w:rsid w:val="0009325B"/>
    <w:rsid w:val="0009359A"/>
    <w:rsid w:val="00093875"/>
    <w:rsid w:val="00094BE5"/>
    <w:rsid w:val="00096523"/>
    <w:rsid w:val="000967AC"/>
    <w:rsid w:val="00096B8D"/>
    <w:rsid w:val="000A04A8"/>
    <w:rsid w:val="000A11CD"/>
    <w:rsid w:val="000A1B0D"/>
    <w:rsid w:val="000A2F34"/>
    <w:rsid w:val="000A3352"/>
    <w:rsid w:val="000A3E16"/>
    <w:rsid w:val="000A48E2"/>
    <w:rsid w:val="000A5528"/>
    <w:rsid w:val="000A683C"/>
    <w:rsid w:val="000A7102"/>
    <w:rsid w:val="000A75EC"/>
    <w:rsid w:val="000B124B"/>
    <w:rsid w:val="000B2280"/>
    <w:rsid w:val="000B414A"/>
    <w:rsid w:val="000B6348"/>
    <w:rsid w:val="000C4D34"/>
    <w:rsid w:val="000C6D33"/>
    <w:rsid w:val="000D1381"/>
    <w:rsid w:val="000D42B2"/>
    <w:rsid w:val="000D7A35"/>
    <w:rsid w:val="000E0A73"/>
    <w:rsid w:val="000E434C"/>
    <w:rsid w:val="000E4DE3"/>
    <w:rsid w:val="000E57EE"/>
    <w:rsid w:val="000E5B8C"/>
    <w:rsid w:val="000E5FD6"/>
    <w:rsid w:val="000E6CD4"/>
    <w:rsid w:val="000F1F09"/>
    <w:rsid w:val="000F3F77"/>
    <w:rsid w:val="000F4EE1"/>
    <w:rsid w:val="000F7F25"/>
    <w:rsid w:val="001007A9"/>
    <w:rsid w:val="00101CE3"/>
    <w:rsid w:val="00104769"/>
    <w:rsid w:val="00106C8D"/>
    <w:rsid w:val="00107BD0"/>
    <w:rsid w:val="00111032"/>
    <w:rsid w:val="001110C9"/>
    <w:rsid w:val="0011478B"/>
    <w:rsid w:val="00114DEC"/>
    <w:rsid w:val="00116D37"/>
    <w:rsid w:val="00117908"/>
    <w:rsid w:val="00120F5D"/>
    <w:rsid w:val="00121078"/>
    <w:rsid w:val="00121917"/>
    <w:rsid w:val="001237D7"/>
    <w:rsid w:val="00124512"/>
    <w:rsid w:val="001256FE"/>
    <w:rsid w:val="00127B1A"/>
    <w:rsid w:val="00127DDA"/>
    <w:rsid w:val="00130A0C"/>
    <w:rsid w:val="001323A4"/>
    <w:rsid w:val="00132D66"/>
    <w:rsid w:val="001330E3"/>
    <w:rsid w:val="0013373F"/>
    <w:rsid w:val="00136279"/>
    <w:rsid w:val="0013735B"/>
    <w:rsid w:val="00137372"/>
    <w:rsid w:val="0014245E"/>
    <w:rsid w:val="00143E16"/>
    <w:rsid w:val="0015008E"/>
    <w:rsid w:val="001519E6"/>
    <w:rsid w:val="00153F1E"/>
    <w:rsid w:val="001545FD"/>
    <w:rsid w:val="00155607"/>
    <w:rsid w:val="00155D81"/>
    <w:rsid w:val="00155EB3"/>
    <w:rsid w:val="00157EFF"/>
    <w:rsid w:val="00163477"/>
    <w:rsid w:val="00166485"/>
    <w:rsid w:val="00167447"/>
    <w:rsid w:val="00167E42"/>
    <w:rsid w:val="00171438"/>
    <w:rsid w:val="00180798"/>
    <w:rsid w:val="00180A78"/>
    <w:rsid w:val="00181060"/>
    <w:rsid w:val="00183D19"/>
    <w:rsid w:val="00184ACA"/>
    <w:rsid w:val="00185304"/>
    <w:rsid w:val="00185DF4"/>
    <w:rsid w:val="00186981"/>
    <w:rsid w:val="0019138A"/>
    <w:rsid w:val="00192751"/>
    <w:rsid w:val="00192C64"/>
    <w:rsid w:val="0019589C"/>
    <w:rsid w:val="00195F65"/>
    <w:rsid w:val="001977EE"/>
    <w:rsid w:val="001A1224"/>
    <w:rsid w:val="001A1D3A"/>
    <w:rsid w:val="001A2152"/>
    <w:rsid w:val="001A30E9"/>
    <w:rsid w:val="001A4322"/>
    <w:rsid w:val="001A7241"/>
    <w:rsid w:val="001A7DFD"/>
    <w:rsid w:val="001A7E52"/>
    <w:rsid w:val="001B0BA9"/>
    <w:rsid w:val="001B47C7"/>
    <w:rsid w:val="001B56F3"/>
    <w:rsid w:val="001C0781"/>
    <w:rsid w:val="001C3098"/>
    <w:rsid w:val="001C3AFE"/>
    <w:rsid w:val="001D314E"/>
    <w:rsid w:val="001D5036"/>
    <w:rsid w:val="001D63D1"/>
    <w:rsid w:val="001D7D40"/>
    <w:rsid w:val="001E26FD"/>
    <w:rsid w:val="001E2C2F"/>
    <w:rsid w:val="001E3BBB"/>
    <w:rsid w:val="001F02AC"/>
    <w:rsid w:val="001F12F7"/>
    <w:rsid w:val="001F2595"/>
    <w:rsid w:val="001F5121"/>
    <w:rsid w:val="001F7748"/>
    <w:rsid w:val="00201633"/>
    <w:rsid w:val="00204153"/>
    <w:rsid w:val="002044C1"/>
    <w:rsid w:val="00205C12"/>
    <w:rsid w:val="002079CE"/>
    <w:rsid w:val="0021095C"/>
    <w:rsid w:val="00212905"/>
    <w:rsid w:val="00213362"/>
    <w:rsid w:val="00213390"/>
    <w:rsid w:val="002138B7"/>
    <w:rsid w:val="00214886"/>
    <w:rsid w:val="0021554D"/>
    <w:rsid w:val="00221E0C"/>
    <w:rsid w:val="0022217F"/>
    <w:rsid w:val="0022280B"/>
    <w:rsid w:val="002236E7"/>
    <w:rsid w:val="0022697E"/>
    <w:rsid w:val="00226ADF"/>
    <w:rsid w:val="00226B4A"/>
    <w:rsid w:val="00227525"/>
    <w:rsid w:val="00232F2E"/>
    <w:rsid w:val="00233551"/>
    <w:rsid w:val="00235466"/>
    <w:rsid w:val="00237042"/>
    <w:rsid w:val="00241398"/>
    <w:rsid w:val="00242E69"/>
    <w:rsid w:val="002436AF"/>
    <w:rsid w:val="002449A3"/>
    <w:rsid w:val="0025054C"/>
    <w:rsid w:val="00251D08"/>
    <w:rsid w:val="0025362F"/>
    <w:rsid w:val="002547D9"/>
    <w:rsid w:val="002569AF"/>
    <w:rsid w:val="00261135"/>
    <w:rsid w:val="002611B4"/>
    <w:rsid w:val="00262660"/>
    <w:rsid w:val="002635BE"/>
    <w:rsid w:val="002642BC"/>
    <w:rsid w:val="002656AA"/>
    <w:rsid w:val="002754C6"/>
    <w:rsid w:val="00277A1D"/>
    <w:rsid w:val="002806CE"/>
    <w:rsid w:val="00280863"/>
    <w:rsid w:val="002808ED"/>
    <w:rsid w:val="002815B7"/>
    <w:rsid w:val="00281E41"/>
    <w:rsid w:val="00284634"/>
    <w:rsid w:val="00285B69"/>
    <w:rsid w:val="002863F4"/>
    <w:rsid w:val="00286BBF"/>
    <w:rsid w:val="00287B99"/>
    <w:rsid w:val="00290483"/>
    <w:rsid w:val="002967AC"/>
    <w:rsid w:val="002974E1"/>
    <w:rsid w:val="002A0C15"/>
    <w:rsid w:val="002A2D9C"/>
    <w:rsid w:val="002A2EE4"/>
    <w:rsid w:val="002A3A59"/>
    <w:rsid w:val="002A497A"/>
    <w:rsid w:val="002A5732"/>
    <w:rsid w:val="002A5793"/>
    <w:rsid w:val="002A5C71"/>
    <w:rsid w:val="002A5CA6"/>
    <w:rsid w:val="002A5DE7"/>
    <w:rsid w:val="002A75EA"/>
    <w:rsid w:val="002A7D3C"/>
    <w:rsid w:val="002B0231"/>
    <w:rsid w:val="002B1AA4"/>
    <w:rsid w:val="002B1DB7"/>
    <w:rsid w:val="002B3F64"/>
    <w:rsid w:val="002B3FF2"/>
    <w:rsid w:val="002B64C4"/>
    <w:rsid w:val="002B64DA"/>
    <w:rsid w:val="002C3941"/>
    <w:rsid w:val="002C3CC6"/>
    <w:rsid w:val="002D71CA"/>
    <w:rsid w:val="002D7D32"/>
    <w:rsid w:val="002E102E"/>
    <w:rsid w:val="002E1DF2"/>
    <w:rsid w:val="002E4AE4"/>
    <w:rsid w:val="002E52E2"/>
    <w:rsid w:val="002E5670"/>
    <w:rsid w:val="002E5FD7"/>
    <w:rsid w:val="002E63E8"/>
    <w:rsid w:val="002E6475"/>
    <w:rsid w:val="002E69B2"/>
    <w:rsid w:val="002F02BA"/>
    <w:rsid w:val="002F0388"/>
    <w:rsid w:val="002F09FD"/>
    <w:rsid w:val="002F2596"/>
    <w:rsid w:val="002F5FEE"/>
    <w:rsid w:val="00302EDB"/>
    <w:rsid w:val="00303AD5"/>
    <w:rsid w:val="0030419B"/>
    <w:rsid w:val="00312050"/>
    <w:rsid w:val="003127EE"/>
    <w:rsid w:val="0031521B"/>
    <w:rsid w:val="003173CA"/>
    <w:rsid w:val="00320062"/>
    <w:rsid w:val="003200CD"/>
    <w:rsid w:val="00322D36"/>
    <w:rsid w:val="003235D7"/>
    <w:rsid w:val="00323857"/>
    <w:rsid w:val="00323A71"/>
    <w:rsid w:val="003246B7"/>
    <w:rsid w:val="003277A6"/>
    <w:rsid w:val="00327DB9"/>
    <w:rsid w:val="00332D40"/>
    <w:rsid w:val="00332F48"/>
    <w:rsid w:val="00333BD1"/>
    <w:rsid w:val="003341C4"/>
    <w:rsid w:val="0033600F"/>
    <w:rsid w:val="00336126"/>
    <w:rsid w:val="00342156"/>
    <w:rsid w:val="00344412"/>
    <w:rsid w:val="00345509"/>
    <w:rsid w:val="00350D20"/>
    <w:rsid w:val="003530F4"/>
    <w:rsid w:val="00353122"/>
    <w:rsid w:val="00354660"/>
    <w:rsid w:val="003554A9"/>
    <w:rsid w:val="003557F4"/>
    <w:rsid w:val="00356900"/>
    <w:rsid w:val="00357CE8"/>
    <w:rsid w:val="0036294F"/>
    <w:rsid w:val="003642BE"/>
    <w:rsid w:val="00364497"/>
    <w:rsid w:val="003703DD"/>
    <w:rsid w:val="00380354"/>
    <w:rsid w:val="003814BF"/>
    <w:rsid w:val="003904FE"/>
    <w:rsid w:val="0039119F"/>
    <w:rsid w:val="00391430"/>
    <w:rsid w:val="00393E8E"/>
    <w:rsid w:val="003968BC"/>
    <w:rsid w:val="00397A77"/>
    <w:rsid w:val="003A0006"/>
    <w:rsid w:val="003A298D"/>
    <w:rsid w:val="003A3DF4"/>
    <w:rsid w:val="003A4716"/>
    <w:rsid w:val="003A4C99"/>
    <w:rsid w:val="003A7CDF"/>
    <w:rsid w:val="003B0F9D"/>
    <w:rsid w:val="003B2397"/>
    <w:rsid w:val="003B5226"/>
    <w:rsid w:val="003C0151"/>
    <w:rsid w:val="003C1132"/>
    <w:rsid w:val="003C2D09"/>
    <w:rsid w:val="003C4EB5"/>
    <w:rsid w:val="003C79E9"/>
    <w:rsid w:val="003D2CC3"/>
    <w:rsid w:val="003D3D68"/>
    <w:rsid w:val="003D54D2"/>
    <w:rsid w:val="003D55C0"/>
    <w:rsid w:val="003D6307"/>
    <w:rsid w:val="003E08C7"/>
    <w:rsid w:val="003E1E67"/>
    <w:rsid w:val="003E3620"/>
    <w:rsid w:val="003E3C14"/>
    <w:rsid w:val="003E49FF"/>
    <w:rsid w:val="003E7A30"/>
    <w:rsid w:val="003F0B5D"/>
    <w:rsid w:val="003F156D"/>
    <w:rsid w:val="003F1739"/>
    <w:rsid w:val="003F46AB"/>
    <w:rsid w:val="003F5849"/>
    <w:rsid w:val="003F7381"/>
    <w:rsid w:val="003F7B8C"/>
    <w:rsid w:val="0040184A"/>
    <w:rsid w:val="0040198A"/>
    <w:rsid w:val="00402A03"/>
    <w:rsid w:val="00404B33"/>
    <w:rsid w:val="00405355"/>
    <w:rsid w:val="0040637D"/>
    <w:rsid w:val="004076E8"/>
    <w:rsid w:val="004139CA"/>
    <w:rsid w:val="00413B71"/>
    <w:rsid w:val="0041425D"/>
    <w:rsid w:val="00415154"/>
    <w:rsid w:val="0041686D"/>
    <w:rsid w:val="00420026"/>
    <w:rsid w:val="004212FE"/>
    <w:rsid w:val="00421D0D"/>
    <w:rsid w:val="00422833"/>
    <w:rsid w:val="0042410F"/>
    <w:rsid w:val="0042567A"/>
    <w:rsid w:val="0042678F"/>
    <w:rsid w:val="00426A7E"/>
    <w:rsid w:val="00426AF7"/>
    <w:rsid w:val="00427428"/>
    <w:rsid w:val="00427508"/>
    <w:rsid w:val="0043132B"/>
    <w:rsid w:val="00431C98"/>
    <w:rsid w:val="00433E1B"/>
    <w:rsid w:val="00434815"/>
    <w:rsid w:val="00434EB7"/>
    <w:rsid w:val="00435069"/>
    <w:rsid w:val="00436903"/>
    <w:rsid w:val="00436AD6"/>
    <w:rsid w:val="00440A73"/>
    <w:rsid w:val="00440ACC"/>
    <w:rsid w:val="00441656"/>
    <w:rsid w:val="004423F1"/>
    <w:rsid w:val="004607B5"/>
    <w:rsid w:val="0046108F"/>
    <w:rsid w:val="00464623"/>
    <w:rsid w:val="00466082"/>
    <w:rsid w:val="00466AB2"/>
    <w:rsid w:val="00467DBC"/>
    <w:rsid w:val="00471076"/>
    <w:rsid w:val="00471E16"/>
    <w:rsid w:val="00474616"/>
    <w:rsid w:val="004758A2"/>
    <w:rsid w:val="00477AC1"/>
    <w:rsid w:val="004814BF"/>
    <w:rsid w:val="00481606"/>
    <w:rsid w:val="004827C9"/>
    <w:rsid w:val="0048548C"/>
    <w:rsid w:val="004861BE"/>
    <w:rsid w:val="00490F1B"/>
    <w:rsid w:val="004915B7"/>
    <w:rsid w:val="004919E0"/>
    <w:rsid w:val="00495896"/>
    <w:rsid w:val="00496A6E"/>
    <w:rsid w:val="004A02A5"/>
    <w:rsid w:val="004A1D2A"/>
    <w:rsid w:val="004A3DEB"/>
    <w:rsid w:val="004A3F43"/>
    <w:rsid w:val="004A7534"/>
    <w:rsid w:val="004B1BD2"/>
    <w:rsid w:val="004B1EBC"/>
    <w:rsid w:val="004B2164"/>
    <w:rsid w:val="004B5B23"/>
    <w:rsid w:val="004B7CD1"/>
    <w:rsid w:val="004C07FC"/>
    <w:rsid w:val="004C2AD4"/>
    <w:rsid w:val="004C53B9"/>
    <w:rsid w:val="004C5A9D"/>
    <w:rsid w:val="004C60FC"/>
    <w:rsid w:val="004C792E"/>
    <w:rsid w:val="004D25B0"/>
    <w:rsid w:val="004D274D"/>
    <w:rsid w:val="004D3556"/>
    <w:rsid w:val="004D52BC"/>
    <w:rsid w:val="004D627F"/>
    <w:rsid w:val="004D6864"/>
    <w:rsid w:val="004D7BB1"/>
    <w:rsid w:val="004E028C"/>
    <w:rsid w:val="004E10D3"/>
    <w:rsid w:val="004E2C93"/>
    <w:rsid w:val="004E46C0"/>
    <w:rsid w:val="004E4A1D"/>
    <w:rsid w:val="004E721C"/>
    <w:rsid w:val="004E7F76"/>
    <w:rsid w:val="004F0340"/>
    <w:rsid w:val="004F0E4D"/>
    <w:rsid w:val="004F1AF3"/>
    <w:rsid w:val="004F3F0C"/>
    <w:rsid w:val="004F5072"/>
    <w:rsid w:val="004F607C"/>
    <w:rsid w:val="004F6DD5"/>
    <w:rsid w:val="0050012B"/>
    <w:rsid w:val="00500860"/>
    <w:rsid w:val="00500D14"/>
    <w:rsid w:val="00500F23"/>
    <w:rsid w:val="00501FA0"/>
    <w:rsid w:val="0050216D"/>
    <w:rsid w:val="00503765"/>
    <w:rsid w:val="005045A9"/>
    <w:rsid w:val="00504638"/>
    <w:rsid w:val="00506002"/>
    <w:rsid w:val="005066AB"/>
    <w:rsid w:val="00507B53"/>
    <w:rsid w:val="00512483"/>
    <w:rsid w:val="00512646"/>
    <w:rsid w:val="00513063"/>
    <w:rsid w:val="00513CA9"/>
    <w:rsid w:val="00514055"/>
    <w:rsid w:val="005144D6"/>
    <w:rsid w:val="00516B22"/>
    <w:rsid w:val="005201F4"/>
    <w:rsid w:val="0052027B"/>
    <w:rsid w:val="00520A07"/>
    <w:rsid w:val="00520E51"/>
    <w:rsid w:val="00523CCD"/>
    <w:rsid w:val="00525207"/>
    <w:rsid w:val="00526E39"/>
    <w:rsid w:val="00526F04"/>
    <w:rsid w:val="005329DF"/>
    <w:rsid w:val="00532EE7"/>
    <w:rsid w:val="00533714"/>
    <w:rsid w:val="00534061"/>
    <w:rsid w:val="0053615A"/>
    <w:rsid w:val="00537857"/>
    <w:rsid w:val="00541414"/>
    <w:rsid w:val="0054515E"/>
    <w:rsid w:val="00545285"/>
    <w:rsid w:val="00546178"/>
    <w:rsid w:val="005477DC"/>
    <w:rsid w:val="005513BF"/>
    <w:rsid w:val="00552F70"/>
    <w:rsid w:val="0055480B"/>
    <w:rsid w:val="005564A0"/>
    <w:rsid w:val="005627ED"/>
    <w:rsid w:val="00562E00"/>
    <w:rsid w:val="0056392C"/>
    <w:rsid w:val="00563976"/>
    <w:rsid w:val="0056596F"/>
    <w:rsid w:val="00565997"/>
    <w:rsid w:val="005661AB"/>
    <w:rsid w:val="00581A73"/>
    <w:rsid w:val="005905FC"/>
    <w:rsid w:val="005909A3"/>
    <w:rsid w:val="00591BB0"/>
    <w:rsid w:val="00591DF5"/>
    <w:rsid w:val="0059225F"/>
    <w:rsid w:val="005938D3"/>
    <w:rsid w:val="005A0244"/>
    <w:rsid w:val="005A0A4F"/>
    <w:rsid w:val="005A13D8"/>
    <w:rsid w:val="005A1F6A"/>
    <w:rsid w:val="005A2849"/>
    <w:rsid w:val="005A4AB2"/>
    <w:rsid w:val="005A51DD"/>
    <w:rsid w:val="005A5BA7"/>
    <w:rsid w:val="005A7310"/>
    <w:rsid w:val="005B1296"/>
    <w:rsid w:val="005B3669"/>
    <w:rsid w:val="005B3696"/>
    <w:rsid w:val="005B413B"/>
    <w:rsid w:val="005B5F15"/>
    <w:rsid w:val="005B7E69"/>
    <w:rsid w:val="005C1EC0"/>
    <w:rsid w:val="005C3AFE"/>
    <w:rsid w:val="005C64CE"/>
    <w:rsid w:val="005D0009"/>
    <w:rsid w:val="005D3C66"/>
    <w:rsid w:val="005D50D9"/>
    <w:rsid w:val="005D5482"/>
    <w:rsid w:val="005E1C9E"/>
    <w:rsid w:val="005E27CA"/>
    <w:rsid w:val="005E3261"/>
    <w:rsid w:val="005E341A"/>
    <w:rsid w:val="005E39EE"/>
    <w:rsid w:val="005E4671"/>
    <w:rsid w:val="005E4693"/>
    <w:rsid w:val="005E5E0C"/>
    <w:rsid w:val="005E608C"/>
    <w:rsid w:val="005E7D55"/>
    <w:rsid w:val="005F1FA7"/>
    <w:rsid w:val="005F44B7"/>
    <w:rsid w:val="005F4808"/>
    <w:rsid w:val="005F4D61"/>
    <w:rsid w:val="005F4F58"/>
    <w:rsid w:val="005F505C"/>
    <w:rsid w:val="005F5C33"/>
    <w:rsid w:val="005F784F"/>
    <w:rsid w:val="0060064B"/>
    <w:rsid w:val="00603A65"/>
    <w:rsid w:val="006040C1"/>
    <w:rsid w:val="0060659D"/>
    <w:rsid w:val="0061007B"/>
    <w:rsid w:val="00615170"/>
    <w:rsid w:val="00615914"/>
    <w:rsid w:val="00621748"/>
    <w:rsid w:val="0062362F"/>
    <w:rsid w:val="00624655"/>
    <w:rsid w:val="00624BD0"/>
    <w:rsid w:val="00627741"/>
    <w:rsid w:val="0063018F"/>
    <w:rsid w:val="00630947"/>
    <w:rsid w:val="00630C2F"/>
    <w:rsid w:val="006320F6"/>
    <w:rsid w:val="00635D8A"/>
    <w:rsid w:val="00636C84"/>
    <w:rsid w:val="00643192"/>
    <w:rsid w:val="006451E0"/>
    <w:rsid w:val="006475E4"/>
    <w:rsid w:val="006525E9"/>
    <w:rsid w:val="0065368D"/>
    <w:rsid w:val="00655D1D"/>
    <w:rsid w:val="00660F62"/>
    <w:rsid w:val="00661139"/>
    <w:rsid w:val="00661EEC"/>
    <w:rsid w:val="00664374"/>
    <w:rsid w:val="00665C0C"/>
    <w:rsid w:val="00667DE8"/>
    <w:rsid w:val="00672607"/>
    <w:rsid w:val="00674E3E"/>
    <w:rsid w:val="00675A76"/>
    <w:rsid w:val="00677310"/>
    <w:rsid w:val="006776E3"/>
    <w:rsid w:val="00680AE8"/>
    <w:rsid w:val="00680F7E"/>
    <w:rsid w:val="006829DE"/>
    <w:rsid w:val="00692691"/>
    <w:rsid w:val="00695B64"/>
    <w:rsid w:val="0069761A"/>
    <w:rsid w:val="00697707"/>
    <w:rsid w:val="006A2B9F"/>
    <w:rsid w:val="006A394D"/>
    <w:rsid w:val="006A519A"/>
    <w:rsid w:val="006A5F5A"/>
    <w:rsid w:val="006A64A3"/>
    <w:rsid w:val="006A77F5"/>
    <w:rsid w:val="006B0453"/>
    <w:rsid w:val="006B4C6D"/>
    <w:rsid w:val="006B592B"/>
    <w:rsid w:val="006B5E75"/>
    <w:rsid w:val="006C3000"/>
    <w:rsid w:val="006C393A"/>
    <w:rsid w:val="006C39E2"/>
    <w:rsid w:val="006C3CD2"/>
    <w:rsid w:val="006C4882"/>
    <w:rsid w:val="006D0A24"/>
    <w:rsid w:val="006D1813"/>
    <w:rsid w:val="006D18EE"/>
    <w:rsid w:val="006D353C"/>
    <w:rsid w:val="006D3639"/>
    <w:rsid w:val="006D561D"/>
    <w:rsid w:val="006D5FEF"/>
    <w:rsid w:val="006D7090"/>
    <w:rsid w:val="006E2C2F"/>
    <w:rsid w:val="006E3CC8"/>
    <w:rsid w:val="006E41C3"/>
    <w:rsid w:val="006E4FB8"/>
    <w:rsid w:val="006E6451"/>
    <w:rsid w:val="006E6810"/>
    <w:rsid w:val="006E71E1"/>
    <w:rsid w:val="006E7DA0"/>
    <w:rsid w:val="006F00AB"/>
    <w:rsid w:val="006F3305"/>
    <w:rsid w:val="006F57B8"/>
    <w:rsid w:val="006F57E9"/>
    <w:rsid w:val="0070337F"/>
    <w:rsid w:val="00703921"/>
    <w:rsid w:val="00704B81"/>
    <w:rsid w:val="00705D5A"/>
    <w:rsid w:val="00711818"/>
    <w:rsid w:val="00711B80"/>
    <w:rsid w:val="0071204C"/>
    <w:rsid w:val="00712502"/>
    <w:rsid w:val="00712562"/>
    <w:rsid w:val="00712783"/>
    <w:rsid w:val="00713DF1"/>
    <w:rsid w:val="0072006A"/>
    <w:rsid w:val="0072078E"/>
    <w:rsid w:val="00720963"/>
    <w:rsid w:val="0072617E"/>
    <w:rsid w:val="00727233"/>
    <w:rsid w:val="0073197A"/>
    <w:rsid w:val="0073294B"/>
    <w:rsid w:val="00740ABD"/>
    <w:rsid w:val="00742077"/>
    <w:rsid w:val="0074215B"/>
    <w:rsid w:val="00743F4A"/>
    <w:rsid w:val="00750AC4"/>
    <w:rsid w:val="0075115D"/>
    <w:rsid w:val="00755225"/>
    <w:rsid w:val="007557C7"/>
    <w:rsid w:val="00756825"/>
    <w:rsid w:val="00756B28"/>
    <w:rsid w:val="00764BC7"/>
    <w:rsid w:val="00765E31"/>
    <w:rsid w:val="00773311"/>
    <w:rsid w:val="00777B4F"/>
    <w:rsid w:val="00780BC3"/>
    <w:rsid w:val="007819E4"/>
    <w:rsid w:val="00783349"/>
    <w:rsid w:val="007908EB"/>
    <w:rsid w:val="00796FBC"/>
    <w:rsid w:val="007A1B59"/>
    <w:rsid w:val="007A2A93"/>
    <w:rsid w:val="007A5C4D"/>
    <w:rsid w:val="007A5DDC"/>
    <w:rsid w:val="007A60EE"/>
    <w:rsid w:val="007A62D4"/>
    <w:rsid w:val="007A6353"/>
    <w:rsid w:val="007B1912"/>
    <w:rsid w:val="007B21F8"/>
    <w:rsid w:val="007C2E6A"/>
    <w:rsid w:val="007D1767"/>
    <w:rsid w:val="007D578A"/>
    <w:rsid w:val="007D6C02"/>
    <w:rsid w:val="007D7D30"/>
    <w:rsid w:val="007D7E51"/>
    <w:rsid w:val="007E0CEF"/>
    <w:rsid w:val="007E10CC"/>
    <w:rsid w:val="007E1AB3"/>
    <w:rsid w:val="007E4755"/>
    <w:rsid w:val="007E4D59"/>
    <w:rsid w:val="007E58C8"/>
    <w:rsid w:val="007E7DCF"/>
    <w:rsid w:val="007F2139"/>
    <w:rsid w:val="007F359B"/>
    <w:rsid w:val="007F4A71"/>
    <w:rsid w:val="007F6341"/>
    <w:rsid w:val="00801187"/>
    <w:rsid w:val="00802751"/>
    <w:rsid w:val="008100DB"/>
    <w:rsid w:val="008106EA"/>
    <w:rsid w:val="00811D48"/>
    <w:rsid w:val="0081391D"/>
    <w:rsid w:val="00816F6C"/>
    <w:rsid w:val="00820FFE"/>
    <w:rsid w:val="0082239F"/>
    <w:rsid w:val="00827E68"/>
    <w:rsid w:val="00827E7A"/>
    <w:rsid w:val="008306DA"/>
    <w:rsid w:val="0083160E"/>
    <w:rsid w:val="00833FF6"/>
    <w:rsid w:val="00835B7E"/>
    <w:rsid w:val="00835F18"/>
    <w:rsid w:val="00836974"/>
    <w:rsid w:val="00836BB3"/>
    <w:rsid w:val="008405B2"/>
    <w:rsid w:val="00841A76"/>
    <w:rsid w:val="008429DB"/>
    <w:rsid w:val="008512DB"/>
    <w:rsid w:val="0085170C"/>
    <w:rsid w:val="008519E9"/>
    <w:rsid w:val="00852EAB"/>
    <w:rsid w:val="008642C5"/>
    <w:rsid w:val="00864645"/>
    <w:rsid w:val="0086568B"/>
    <w:rsid w:val="00866A0F"/>
    <w:rsid w:val="008700A2"/>
    <w:rsid w:val="00871288"/>
    <w:rsid w:val="00872324"/>
    <w:rsid w:val="00874947"/>
    <w:rsid w:val="0087527F"/>
    <w:rsid w:val="008777B5"/>
    <w:rsid w:val="00881051"/>
    <w:rsid w:val="008819F1"/>
    <w:rsid w:val="00881BF4"/>
    <w:rsid w:val="008827BF"/>
    <w:rsid w:val="0088477F"/>
    <w:rsid w:val="00886BC6"/>
    <w:rsid w:val="008902A1"/>
    <w:rsid w:val="00890CCC"/>
    <w:rsid w:val="008920F2"/>
    <w:rsid w:val="00893024"/>
    <w:rsid w:val="008935C3"/>
    <w:rsid w:val="00893DD2"/>
    <w:rsid w:val="00894084"/>
    <w:rsid w:val="00897A97"/>
    <w:rsid w:val="008A04C0"/>
    <w:rsid w:val="008A3E87"/>
    <w:rsid w:val="008A728A"/>
    <w:rsid w:val="008B1B9B"/>
    <w:rsid w:val="008B3E3F"/>
    <w:rsid w:val="008B741F"/>
    <w:rsid w:val="008C038D"/>
    <w:rsid w:val="008C7534"/>
    <w:rsid w:val="008D0A3A"/>
    <w:rsid w:val="008D55A9"/>
    <w:rsid w:val="008E02D3"/>
    <w:rsid w:val="008E2216"/>
    <w:rsid w:val="008E2A4A"/>
    <w:rsid w:val="008E3906"/>
    <w:rsid w:val="008E4E6B"/>
    <w:rsid w:val="008E5703"/>
    <w:rsid w:val="008E6AFC"/>
    <w:rsid w:val="008E79BB"/>
    <w:rsid w:val="008E7A5A"/>
    <w:rsid w:val="008F052B"/>
    <w:rsid w:val="008F0652"/>
    <w:rsid w:val="008F19E1"/>
    <w:rsid w:val="008F28B4"/>
    <w:rsid w:val="008F4E93"/>
    <w:rsid w:val="008F509F"/>
    <w:rsid w:val="0090162F"/>
    <w:rsid w:val="0090277B"/>
    <w:rsid w:val="00911F7B"/>
    <w:rsid w:val="009135F3"/>
    <w:rsid w:val="00914C8F"/>
    <w:rsid w:val="00916482"/>
    <w:rsid w:val="009167A3"/>
    <w:rsid w:val="0091698A"/>
    <w:rsid w:val="00917144"/>
    <w:rsid w:val="00920218"/>
    <w:rsid w:val="00920F7F"/>
    <w:rsid w:val="009210EC"/>
    <w:rsid w:val="00921989"/>
    <w:rsid w:val="00925228"/>
    <w:rsid w:val="009262EC"/>
    <w:rsid w:val="00933BBA"/>
    <w:rsid w:val="00934071"/>
    <w:rsid w:val="00937E7B"/>
    <w:rsid w:val="00942316"/>
    <w:rsid w:val="009446AB"/>
    <w:rsid w:val="0094480A"/>
    <w:rsid w:val="00945674"/>
    <w:rsid w:val="00946E23"/>
    <w:rsid w:val="009475EF"/>
    <w:rsid w:val="0095027F"/>
    <w:rsid w:val="00950B65"/>
    <w:rsid w:val="0095363A"/>
    <w:rsid w:val="00953D3F"/>
    <w:rsid w:val="00954396"/>
    <w:rsid w:val="00955B73"/>
    <w:rsid w:val="009562D2"/>
    <w:rsid w:val="00963B6C"/>
    <w:rsid w:val="00963EAA"/>
    <w:rsid w:val="0096447A"/>
    <w:rsid w:val="00964C7B"/>
    <w:rsid w:val="00965C34"/>
    <w:rsid w:val="0097035F"/>
    <w:rsid w:val="00970416"/>
    <w:rsid w:val="0097085C"/>
    <w:rsid w:val="009708A3"/>
    <w:rsid w:val="009720DA"/>
    <w:rsid w:val="00973F44"/>
    <w:rsid w:val="00983D09"/>
    <w:rsid w:val="0098639F"/>
    <w:rsid w:val="009876D6"/>
    <w:rsid w:val="00990482"/>
    <w:rsid w:val="00991746"/>
    <w:rsid w:val="0099223F"/>
    <w:rsid w:val="0099322B"/>
    <w:rsid w:val="009949F6"/>
    <w:rsid w:val="00995D55"/>
    <w:rsid w:val="009964F4"/>
    <w:rsid w:val="00997880"/>
    <w:rsid w:val="00997C8D"/>
    <w:rsid w:val="009A0D25"/>
    <w:rsid w:val="009A637B"/>
    <w:rsid w:val="009B3B75"/>
    <w:rsid w:val="009B74B2"/>
    <w:rsid w:val="009C2263"/>
    <w:rsid w:val="009C5006"/>
    <w:rsid w:val="009C5FE8"/>
    <w:rsid w:val="009C601D"/>
    <w:rsid w:val="009C6DC7"/>
    <w:rsid w:val="009C716C"/>
    <w:rsid w:val="009C7406"/>
    <w:rsid w:val="009D50EF"/>
    <w:rsid w:val="009D55F7"/>
    <w:rsid w:val="009D799B"/>
    <w:rsid w:val="009E16BA"/>
    <w:rsid w:val="009E1CAA"/>
    <w:rsid w:val="009E3BF7"/>
    <w:rsid w:val="009E564C"/>
    <w:rsid w:val="009F1470"/>
    <w:rsid w:val="009F1DBD"/>
    <w:rsid w:val="009F3510"/>
    <w:rsid w:val="009F3611"/>
    <w:rsid w:val="009F4247"/>
    <w:rsid w:val="009F4A9E"/>
    <w:rsid w:val="00A019C2"/>
    <w:rsid w:val="00A03A98"/>
    <w:rsid w:val="00A06720"/>
    <w:rsid w:val="00A075D2"/>
    <w:rsid w:val="00A14B91"/>
    <w:rsid w:val="00A15F36"/>
    <w:rsid w:val="00A20D18"/>
    <w:rsid w:val="00A24466"/>
    <w:rsid w:val="00A3019C"/>
    <w:rsid w:val="00A315FB"/>
    <w:rsid w:val="00A31684"/>
    <w:rsid w:val="00A317CE"/>
    <w:rsid w:val="00A32027"/>
    <w:rsid w:val="00A339C2"/>
    <w:rsid w:val="00A33C3D"/>
    <w:rsid w:val="00A34174"/>
    <w:rsid w:val="00A34C4D"/>
    <w:rsid w:val="00A34CA3"/>
    <w:rsid w:val="00A35DC5"/>
    <w:rsid w:val="00A369A9"/>
    <w:rsid w:val="00A42A54"/>
    <w:rsid w:val="00A514B5"/>
    <w:rsid w:val="00A54A3E"/>
    <w:rsid w:val="00A57D56"/>
    <w:rsid w:val="00A64DFD"/>
    <w:rsid w:val="00A64EF9"/>
    <w:rsid w:val="00A766CA"/>
    <w:rsid w:val="00A77B0D"/>
    <w:rsid w:val="00A8057A"/>
    <w:rsid w:val="00A8091E"/>
    <w:rsid w:val="00A836F5"/>
    <w:rsid w:val="00A92332"/>
    <w:rsid w:val="00A9358E"/>
    <w:rsid w:val="00A95188"/>
    <w:rsid w:val="00A96C8C"/>
    <w:rsid w:val="00A9710C"/>
    <w:rsid w:val="00A97473"/>
    <w:rsid w:val="00AA1E04"/>
    <w:rsid w:val="00AA5B87"/>
    <w:rsid w:val="00AB10A9"/>
    <w:rsid w:val="00AB14F0"/>
    <w:rsid w:val="00AB151A"/>
    <w:rsid w:val="00AB3748"/>
    <w:rsid w:val="00AB6832"/>
    <w:rsid w:val="00AC1E03"/>
    <w:rsid w:val="00AC1FEE"/>
    <w:rsid w:val="00AC40F5"/>
    <w:rsid w:val="00AC49E7"/>
    <w:rsid w:val="00AC7016"/>
    <w:rsid w:val="00AD17CE"/>
    <w:rsid w:val="00AD1CE8"/>
    <w:rsid w:val="00AD2426"/>
    <w:rsid w:val="00AD34A5"/>
    <w:rsid w:val="00AD4586"/>
    <w:rsid w:val="00AD4B70"/>
    <w:rsid w:val="00AD4D64"/>
    <w:rsid w:val="00AD4E0E"/>
    <w:rsid w:val="00AE57FF"/>
    <w:rsid w:val="00AE6D07"/>
    <w:rsid w:val="00AE794E"/>
    <w:rsid w:val="00AF0AA7"/>
    <w:rsid w:val="00AF1A5F"/>
    <w:rsid w:val="00AF2F12"/>
    <w:rsid w:val="00AF32F3"/>
    <w:rsid w:val="00AF36A7"/>
    <w:rsid w:val="00AF45E9"/>
    <w:rsid w:val="00AF7620"/>
    <w:rsid w:val="00AF79CD"/>
    <w:rsid w:val="00B0148B"/>
    <w:rsid w:val="00B01AFC"/>
    <w:rsid w:val="00B03CD5"/>
    <w:rsid w:val="00B05F76"/>
    <w:rsid w:val="00B06D55"/>
    <w:rsid w:val="00B10397"/>
    <w:rsid w:val="00B10E6E"/>
    <w:rsid w:val="00B121B1"/>
    <w:rsid w:val="00B166EF"/>
    <w:rsid w:val="00B2016C"/>
    <w:rsid w:val="00B201DB"/>
    <w:rsid w:val="00B20C64"/>
    <w:rsid w:val="00B21696"/>
    <w:rsid w:val="00B21FE3"/>
    <w:rsid w:val="00B23551"/>
    <w:rsid w:val="00B332C7"/>
    <w:rsid w:val="00B37805"/>
    <w:rsid w:val="00B40B7C"/>
    <w:rsid w:val="00B40EC9"/>
    <w:rsid w:val="00B416AB"/>
    <w:rsid w:val="00B44970"/>
    <w:rsid w:val="00B4555B"/>
    <w:rsid w:val="00B462C5"/>
    <w:rsid w:val="00B531B0"/>
    <w:rsid w:val="00B53B3E"/>
    <w:rsid w:val="00B54860"/>
    <w:rsid w:val="00B54D14"/>
    <w:rsid w:val="00B55A41"/>
    <w:rsid w:val="00B5622C"/>
    <w:rsid w:val="00B60C0F"/>
    <w:rsid w:val="00B6132E"/>
    <w:rsid w:val="00B62489"/>
    <w:rsid w:val="00B70327"/>
    <w:rsid w:val="00B70A33"/>
    <w:rsid w:val="00B71013"/>
    <w:rsid w:val="00B72298"/>
    <w:rsid w:val="00B73A11"/>
    <w:rsid w:val="00B772A2"/>
    <w:rsid w:val="00B772C9"/>
    <w:rsid w:val="00B773CB"/>
    <w:rsid w:val="00B77B7A"/>
    <w:rsid w:val="00B800E3"/>
    <w:rsid w:val="00B806E6"/>
    <w:rsid w:val="00B83DB3"/>
    <w:rsid w:val="00B85157"/>
    <w:rsid w:val="00B85F5A"/>
    <w:rsid w:val="00B874EB"/>
    <w:rsid w:val="00B87BAE"/>
    <w:rsid w:val="00B907EC"/>
    <w:rsid w:val="00B9250C"/>
    <w:rsid w:val="00B9328A"/>
    <w:rsid w:val="00B934A7"/>
    <w:rsid w:val="00B965CE"/>
    <w:rsid w:val="00B96758"/>
    <w:rsid w:val="00BA0323"/>
    <w:rsid w:val="00BA45B8"/>
    <w:rsid w:val="00BA5038"/>
    <w:rsid w:val="00BA56F9"/>
    <w:rsid w:val="00BB02B6"/>
    <w:rsid w:val="00BB073F"/>
    <w:rsid w:val="00BB1E84"/>
    <w:rsid w:val="00BB1FAD"/>
    <w:rsid w:val="00BB3124"/>
    <w:rsid w:val="00BB469F"/>
    <w:rsid w:val="00BB5BE3"/>
    <w:rsid w:val="00BB723E"/>
    <w:rsid w:val="00BC00AB"/>
    <w:rsid w:val="00BC2E0E"/>
    <w:rsid w:val="00BC4C7E"/>
    <w:rsid w:val="00BC55B6"/>
    <w:rsid w:val="00BD1008"/>
    <w:rsid w:val="00BD1860"/>
    <w:rsid w:val="00BD27D9"/>
    <w:rsid w:val="00BD4CA8"/>
    <w:rsid w:val="00BD4F92"/>
    <w:rsid w:val="00BD5FF8"/>
    <w:rsid w:val="00BD68FD"/>
    <w:rsid w:val="00BD6D91"/>
    <w:rsid w:val="00BD6FC3"/>
    <w:rsid w:val="00BE169D"/>
    <w:rsid w:val="00BE2B63"/>
    <w:rsid w:val="00BE76C3"/>
    <w:rsid w:val="00BE7A2C"/>
    <w:rsid w:val="00BF1FB3"/>
    <w:rsid w:val="00BF52A9"/>
    <w:rsid w:val="00BF6FA0"/>
    <w:rsid w:val="00C00F57"/>
    <w:rsid w:val="00C01419"/>
    <w:rsid w:val="00C0314B"/>
    <w:rsid w:val="00C0536D"/>
    <w:rsid w:val="00C10D7C"/>
    <w:rsid w:val="00C13AF8"/>
    <w:rsid w:val="00C1453E"/>
    <w:rsid w:val="00C15D12"/>
    <w:rsid w:val="00C1637A"/>
    <w:rsid w:val="00C164BF"/>
    <w:rsid w:val="00C1771A"/>
    <w:rsid w:val="00C17C6B"/>
    <w:rsid w:val="00C21352"/>
    <w:rsid w:val="00C21694"/>
    <w:rsid w:val="00C21D3C"/>
    <w:rsid w:val="00C233B6"/>
    <w:rsid w:val="00C2378D"/>
    <w:rsid w:val="00C238E6"/>
    <w:rsid w:val="00C245F7"/>
    <w:rsid w:val="00C2611F"/>
    <w:rsid w:val="00C307B9"/>
    <w:rsid w:val="00C3625B"/>
    <w:rsid w:val="00C362AE"/>
    <w:rsid w:val="00C36686"/>
    <w:rsid w:val="00C36D8C"/>
    <w:rsid w:val="00C41B25"/>
    <w:rsid w:val="00C41EFB"/>
    <w:rsid w:val="00C42D38"/>
    <w:rsid w:val="00C4349F"/>
    <w:rsid w:val="00C46012"/>
    <w:rsid w:val="00C504E4"/>
    <w:rsid w:val="00C51D21"/>
    <w:rsid w:val="00C52C16"/>
    <w:rsid w:val="00C54A38"/>
    <w:rsid w:val="00C576C2"/>
    <w:rsid w:val="00C57E4B"/>
    <w:rsid w:val="00C6074F"/>
    <w:rsid w:val="00C6291E"/>
    <w:rsid w:val="00C62A54"/>
    <w:rsid w:val="00C632E1"/>
    <w:rsid w:val="00C65AC9"/>
    <w:rsid w:val="00C66936"/>
    <w:rsid w:val="00C670B4"/>
    <w:rsid w:val="00C673CE"/>
    <w:rsid w:val="00C7086E"/>
    <w:rsid w:val="00C71B77"/>
    <w:rsid w:val="00C71DFA"/>
    <w:rsid w:val="00C74266"/>
    <w:rsid w:val="00C75809"/>
    <w:rsid w:val="00C77BEE"/>
    <w:rsid w:val="00C866FC"/>
    <w:rsid w:val="00C87413"/>
    <w:rsid w:val="00C918BA"/>
    <w:rsid w:val="00C91F89"/>
    <w:rsid w:val="00C9239D"/>
    <w:rsid w:val="00C93705"/>
    <w:rsid w:val="00C958F3"/>
    <w:rsid w:val="00C97E56"/>
    <w:rsid w:val="00CA1A22"/>
    <w:rsid w:val="00CA3B4B"/>
    <w:rsid w:val="00CA53D2"/>
    <w:rsid w:val="00CA7228"/>
    <w:rsid w:val="00CB0123"/>
    <w:rsid w:val="00CB293B"/>
    <w:rsid w:val="00CB2AFE"/>
    <w:rsid w:val="00CB2BDB"/>
    <w:rsid w:val="00CB343B"/>
    <w:rsid w:val="00CB3B62"/>
    <w:rsid w:val="00CB5020"/>
    <w:rsid w:val="00CC5AAF"/>
    <w:rsid w:val="00CC5B76"/>
    <w:rsid w:val="00CC638F"/>
    <w:rsid w:val="00CD0B43"/>
    <w:rsid w:val="00CD0FB6"/>
    <w:rsid w:val="00CD3C48"/>
    <w:rsid w:val="00CE1503"/>
    <w:rsid w:val="00CE1D64"/>
    <w:rsid w:val="00CE28A5"/>
    <w:rsid w:val="00CE5683"/>
    <w:rsid w:val="00CE7912"/>
    <w:rsid w:val="00CF11C6"/>
    <w:rsid w:val="00CF1BB5"/>
    <w:rsid w:val="00CF3ABC"/>
    <w:rsid w:val="00CF4713"/>
    <w:rsid w:val="00CF650C"/>
    <w:rsid w:val="00CF7BB1"/>
    <w:rsid w:val="00D034D9"/>
    <w:rsid w:val="00D0636D"/>
    <w:rsid w:val="00D07491"/>
    <w:rsid w:val="00D11D4D"/>
    <w:rsid w:val="00D1674F"/>
    <w:rsid w:val="00D20697"/>
    <w:rsid w:val="00D23DAE"/>
    <w:rsid w:val="00D25387"/>
    <w:rsid w:val="00D31F3C"/>
    <w:rsid w:val="00D322CD"/>
    <w:rsid w:val="00D34EBA"/>
    <w:rsid w:val="00D3502E"/>
    <w:rsid w:val="00D350E9"/>
    <w:rsid w:val="00D479C6"/>
    <w:rsid w:val="00D50738"/>
    <w:rsid w:val="00D50D58"/>
    <w:rsid w:val="00D517C2"/>
    <w:rsid w:val="00D54114"/>
    <w:rsid w:val="00D560E6"/>
    <w:rsid w:val="00D57410"/>
    <w:rsid w:val="00D57CA9"/>
    <w:rsid w:val="00D60E72"/>
    <w:rsid w:val="00D621FE"/>
    <w:rsid w:val="00D64B09"/>
    <w:rsid w:val="00D66901"/>
    <w:rsid w:val="00D6691B"/>
    <w:rsid w:val="00D70EEC"/>
    <w:rsid w:val="00D721C5"/>
    <w:rsid w:val="00D728B2"/>
    <w:rsid w:val="00D7451D"/>
    <w:rsid w:val="00D74AAE"/>
    <w:rsid w:val="00D7606F"/>
    <w:rsid w:val="00D77C93"/>
    <w:rsid w:val="00D801BD"/>
    <w:rsid w:val="00D820D6"/>
    <w:rsid w:val="00D832EE"/>
    <w:rsid w:val="00D84B11"/>
    <w:rsid w:val="00D858E2"/>
    <w:rsid w:val="00D859D3"/>
    <w:rsid w:val="00D904F0"/>
    <w:rsid w:val="00D90ACC"/>
    <w:rsid w:val="00D9223F"/>
    <w:rsid w:val="00D939F8"/>
    <w:rsid w:val="00D94C5F"/>
    <w:rsid w:val="00D9583B"/>
    <w:rsid w:val="00D96DB2"/>
    <w:rsid w:val="00DA0C7E"/>
    <w:rsid w:val="00DA3CCE"/>
    <w:rsid w:val="00DA506E"/>
    <w:rsid w:val="00DB1FCB"/>
    <w:rsid w:val="00DB2320"/>
    <w:rsid w:val="00DB4761"/>
    <w:rsid w:val="00DB6CEF"/>
    <w:rsid w:val="00DB7F8E"/>
    <w:rsid w:val="00DC180D"/>
    <w:rsid w:val="00DC2F9B"/>
    <w:rsid w:val="00DC3139"/>
    <w:rsid w:val="00DC4B48"/>
    <w:rsid w:val="00DC4E83"/>
    <w:rsid w:val="00DD0666"/>
    <w:rsid w:val="00DD0D6B"/>
    <w:rsid w:val="00DD0F78"/>
    <w:rsid w:val="00DD1A37"/>
    <w:rsid w:val="00DD1F38"/>
    <w:rsid w:val="00DD294B"/>
    <w:rsid w:val="00DD5ABE"/>
    <w:rsid w:val="00DD6687"/>
    <w:rsid w:val="00DD72E0"/>
    <w:rsid w:val="00DE3350"/>
    <w:rsid w:val="00DE3F25"/>
    <w:rsid w:val="00DE489A"/>
    <w:rsid w:val="00DE5916"/>
    <w:rsid w:val="00DE706A"/>
    <w:rsid w:val="00DE7B86"/>
    <w:rsid w:val="00DF40F9"/>
    <w:rsid w:val="00DF49BB"/>
    <w:rsid w:val="00DF64FA"/>
    <w:rsid w:val="00DF71B1"/>
    <w:rsid w:val="00DF7C2F"/>
    <w:rsid w:val="00E00E8D"/>
    <w:rsid w:val="00E01AD8"/>
    <w:rsid w:val="00E02DF0"/>
    <w:rsid w:val="00E032A2"/>
    <w:rsid w:val="00E03D9A"/>
    <w:rsid w:val="00E04BAD"/>
    <w:rsid w:val="00E15049"/>
    <w:rsid w:val="00E15101"/>
    <w:rsid w:val="00E223CF"/>
    <w:rsid w:val="00E246ED"/>
    <w:rsid w:val="00E24899"/>
    <w:rsid w:val="00E26560"/>
    <w:rsid w:val="00E31834"/>
    <w:rsid w:val="00E318DE"/>
    <w:rsid w:val="00E31E69"/>
    <w:rsid w:val="00E32315"/>
    <w:rsid w:val="00E35C10"/>
    <w:rsid w:val="00E4330C"/>
    <w:rsid w:val="00E446F6"/>
    <w:rsid w:val="00E454FF"/>
    <w:rsid w:val="00E45C74"/>
    <w:rsid w:val="00E47F4B"/>
    <w:rsid w:val="00E50172"/>
    <w:rsid w:val="00E50656"/>
    <w:rsid w:val="00E52E48"/>
    <w:rsid w:val="00E5406C"/>
    <w:rsid w:val="00E5684D"/>
    <w:rsid w:val="00E56B92"/>
    <w:rsid w:val="00E64254"/>
    <w:rsid w:val="00E668AD"/>
    <w:rsid w:val="00E66E45"/>
    <w:rsid w:val="00E75591"/>
    <w:rsid w:val="00E8035B"/>
    <w:rsid w:val="00E80585"/>
    <w:rsid w:val="00E807D2"/>
    <w:rsid w:val="00E81574"/>
    <w:rsid w:val="00E8316D"/>
    <w:rsid w:val="00E845E9"/>
    <w:rsid w:val="00E8472C"/>
    <w:rsid w:val="00E84C5E"/>
    <w:rsid w:val="00E8564F"/>
    <w:rsid w:val="00E91F2C"/>
    <w:rsid w:val="00E94B29"/>
    <w:rsid w:val="00E94C8A"/>
    <w:rsid w:val="00EA0F47"/>
    <w:rsid w:val="00EA4512"/>
    <w:rsid w:val="00EA4AAC"/>
    <w:rsid w:val="00EA5668"/>
    <w:rsid w:val="00EA64A8"/>
    <w:rsid w:val="00EA71FB"/>
    <w:rsid w:val="00EB2E43"/>
    <w:rsid w:val="00EB335D"/>
    <w:rsid w:val="00EB36E6"/>
    <w:rsid w:val="00EB5672"/>
    <w:rsid w:val="00EB60B9"/>
    <w:rsid w:val="00EB692C"/>
    <w:rsid w:val="00EC1B20"/>
    <w:rsid w:val="00EC1C2E"/>
    <w:rsid w:val="00EC2284"/>
    <w:rsid w:val="00EC7C2F"/>
    <w:rsid w:val="00ED0A2B"/>
    <w:rsid w:val="00ED18C8"/>
    <w:rsid w:val="00ED2607"/>
    <w:rsid w:val="00ED2D82"/>
    <w:rsid w:val="00ED4565"/>
    <w:rsid w:val="00ED5355"/>
    <w:rsid w:val="00EE01C7"/>
    <w:rsid w:val="00EE2638"/>
    <w:rsid w:val="00EE4DDF"/>
    <w:rsid w:val="00EF16A3"/>
    <w:rsid w:val="00EF361F"/>
    <w:rsid w:val="00EF3956"/>
    <w:rsid w:val="00EF541D"/>
    <w:rsid w:val="00EF56E5"/>
    <w:rsid w:val="00EF70BA"/>
    <w:rsid w:val="00EF767A"/>
    <w:rsid w:val="00F009FF"/>
    <w:rsid w:val="00F01CAE"/>
    <w:rsid w:val="00F02325"/>
    <w:rsid w:val="00F02A6A"/>
    <w:rsid w:val="00F02BCE"/>
    <w:rsid w:val="00F039AB"/>
    <w:rsid w:val="00F03DA2"/>
    <w:rsid w:val="00F06632"/>
    <w:rsid w:val="00F105AD"/>
    <w:rsid w:val="00F11780"/>
    <w:rsid w:val="00F11959"/>
    <w:rsid w:val="00F11B5E"/>
    <w:rsid w:val="00F13E76"/>
    <w:rsid w:val="00F15227"/>
    <w:rsid w:val="00F17E55"/>
    <w:rsid w:val="00F201BA"/>
    <w:rsid w:val="00F2121C"/>
    <w:rsid w:val="00F2452C"/>
    <w:rsid w:val="00F25FBD"/>
    <w:rsid w:val="00F265B7"/>
    <w:rsid w:val="00F3007D"/>
    <w:rsid w:val="00F306D2"/>
    <w:rsid w:val="00F31E30"/>
    <w:rsid w:val="00F32E44"/>
    <w:rsid w:val="00F362C1"/>
    <w:rsid w:val="00F3787D"/>
    <w:rsid w:val="00F37F80"/>
    <w:rsid w:val="00F40A4B"/>
    <w:rsid w:val="00F418B6"/>
    <w:rsid w:val="00F42D16"/>
    <w:rsid w:val="00F44A62"/>
    <w:rsid w:val="00F471F7"/>
    <w:rsid w:val="00F501AA"/>
    <w:rsid w:val="00F50D44"/>
    <w:rsid w:val="00F51732"/>
    <w:rsid w:val="00F5462E"/>
    <w:rsid w:val="00F56D84"/>
    <w:rsid w:val="00F6166B"/>
    <w:rsid w:val="00F63871"/>
    <w:rsid w:val="00F65C96"/>
    <w:rsid w:val="00F71E4D"/>
    <w:rsid w:val="00F720DA"/>
    <w:rsid w:val="00F72BC8"/>
    <w:rsid w:val="00F7396C"/>
    <w:rsid w:val="00F74872"/>
    <w:rsid w:val="00F754F6"/>
    <w:rsid w:val="00F75BF1"/>
    <w:rsid w:val="00F80F28"/>
    <w:rsid w:val="00F81257"/>
    <w:rsid w:val="00F83A2C"/>
    <w:rsid w:val="00F8462A"/>
    <w:rsid w:val="00F867B3"/>
    <w:rsid w:val="00F86C32"/>
    <w:rsid w:val="00F92D91"/>
    <w:rsid w:val="00F93842"/>
    <w:rsid w:val="00F94019"/>
    <w:rsid w:val="00F94E28"/>
    <w:rsid w:val="00F969BB"/>
    <w:rsid w:val="00F97BA1"/>
    <w:rsid w:val="00FA0412"/>
    <w:rsid w:val="00FA0B7A"/>
    <w:rsid w:val="00FA0CA4"/>
    <w:rsid w:val="00FA20BF"/>
    <w:rsid w:val="00FA4CF7"/>
    <w:rsid w:val="00FA6D18"/>
    <w:rsid w:val="00FA77DF"/>
    <w:rsid w:val="00FA7E4D"/>
    <w:rsid w:val="00FB040B"/>
    <w:rsid w:val="00FB072B"/>
    <w:rsid w:val="00FB3C32"/>
    <w:rsid w:val="00FB4BB6"/>
    <w:rsid w:val="00FB6439"/>
    <w:rsid w:val="00FB67C6"/>
    <w:rsid w:val="00FB6FAA"/>
    <w:rsid w:val="00FB793B"/>
    <w:rsid w:val="00FC44E3"/>
    <w:rsid w:val="00FC5533"/>
    <w:rsid w:val="00FC58F3"/>
    <w:rsid w:val="00FC5EA5"/>
    <w:rsid w:val="00FD62E6"/>
    <w:rsid w:val="00FD747C"/>
    <w:rsid w:val="00FE0906"/>
    <w:rsid w:val="00FE1CD3"/>
    <w:rsid w:val="00FE40EC"/>
    <w:rsid w:val="00FE5275"/>
    <w:rsid w:val="00FE6BEF"/>
    <w:rsid w:val="00FF0F7E"/>
    <w:rsid w:val="00FF402F"/>
    <w:rsid w:val="00FF585B"/>
    <w:rsid w:val="00FF64E3"/>
    <w:rsid w:val="00FF6E98"/>
    <w:rsid w:val="00FF6EB1"/>
    <w:rsid w:val="00FF6F60"/>
    <w:rsid w:val="00FF7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92303"/>
  <w15:docId w15:val="{24D25D4B-8AD2-48CA-9412-C8BDA630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355"/>
    <w:pPr>
      <w:spacing w:after="200" w:line="276" w:lineRule="auto"/>
    </w:pPr>
    <w:rPr>
      <w:rFonts w:eastAsiaTheme="minorEastAsia"/>
      <w:lang w:eastAsia="en-GB"/>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C71DFA"/>
    <w:pPr>
      <w:keepNext/>
      <w:numPr>
        <w:numId w:val="4"/>
      </w:numPr>
      <w:tabs>
        <w:tab w:val="left" w:pos="851"/>
      </w:tabs>
      <w:adjustRightInd w:val="0"/>
      <w:spacing w:after="120" w:line="240" w:lineRule="auto"/>
      <w:jc w:val="both"/>
      <w:outlineLvl w:val="0"/>
    </w:pPr>
    <w:rPr>
      <w:rFonts w:ascii="Arial" w:eastAsia="STZhongsong" w:hAnsi="Arial" w:cs="Times New Roman"/>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qFormat/>
    <w:rsid w:val="00C71DFA"/>
    <w:pPr>
      <w:numPr>
        <w:ilvl w:val="1"/>
        <w:numId w:val="4"/>
      </w:numPr>
      <w:tabs>
        <w:tab w:val="left" w:pos="851"/>
      </w:tabs>
      <w:adjustRightInd w:val="0"/>
      <w:spacing w:after="120" w:line="240" w:lineRule="auto"/>
      <w:jc w:val="both"/>
      <w:outlineLvl w:val="1"/>
    </w:pPr>
    <w:rPr>
      <w:rFonts w:ascii="Arial" w:eastAsia="STZhongsong" w:hAnsi="Arial" w:cs="Times New Roman"/>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qFormat/>
    <w:rsid w:val="00C71DFA"/>
    <w:pPr>
      <w:numPr>
        <w:ilvl w:val="2"/>
        <w:numId w:val="4"/>
      </w:numPr>
      <w:tabs>
        <w:tab w:val="left" w:pos="1418"/>
      </w:tabs>
      <w:adjustRightInd w:val="0"/>
      <w:spacing w:after="120" w:line="240" w:lineRule="auto"/>
      <w:jc w:val="both"/>
      <w:outlineLvl w:val="2"/>
    </w:pPr>
    <w:rPr>
      <w:rFonts w:ascii="Arial" w:eastAsia="STZhongsong" w:hAnsi="Arial" w:cs="Times New Roman"/>
      <w:sz w:val="20"/>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qFormat/>
    <w:rsid w:val="00C71DFA"/>
    <w:pPr>
      <w:numPr>
        <w:ilvl w:val="3"/>
        <w:numId w:val="4"/>
      </w:numPr>
      <w:adjustRightInd w:val="0"/>
      <w:spacing w:after="12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Normal"/>
    <w:next w:val="Normal"/>
    <w:link w:val="Heading5Char"/>
    <w:unhideWhenUsed/>
    <w:qFormat/>
    <w:rsid w:val="00C71DFA"/>
    <w:pPr>
      <w:keepNext/>
      <w:keepLines/>
      <w:numPr>
        <w:ilvl w:val="4"/>
        <w:numId w:val="4"/>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eading5"/>
    <w:link w:val="Heading6Char"/>
    <w:qFormat/>
    <w:rsid w:val="00C71DFA"/>
    <w:pPr>
      <w:keepNext w:val="0"/>
      <w:keepLines w:val="0"/>
      <w:widowControl w:val="0"/>
      <w:numPr>
        <w:ilvl w:val="5"/>
      </w:numPr>
      <w:overflowPunct w:val="0"/>
      <w:autoSpaceDE w:val="0"/>
      <w:autoSpaceDN w:val="0"/>
      <w:adjustRightInd w:val="0"/>
      <w:spacing w:before="0" w:after="240" w:line="360" w:lineRule="auto"/>
      <w:jc w:val="both"/>
      <w:textAlignment w:val="baseline"/>
      <w:outlineLvl w:val="5"/>
    </w:pPr>
    <w:rPr>
      <w:rFonts w:ascii="Arial" w:eastAsia="Times New Roman" w:hAnsi="Arial" w:cs="Times New Roman"/>
      <w:color w:val="auto"/>
      <w:szCs w:val="20"/>
    </w:rPr>
  </w:style>
  <w:style w:type="paragraph" w:styleId="Heading7">
    <w:name w:val="heading 7"/>
    <w:aliases w:val="Heading 7 (Do Not Use),Heading 7(unused),Legal Level 1.1.,L2 PIP,Lev 7,H7DO NOT USE,PA Appendix Major,Blank 3,Comments,Cover"/>
    <w:basedOn w:val="Heading6"/>
    <w:link w:val="Heading7Char"/>
    <w:qFormat/>
    <w:rsid w:val="00C71DFA"/>
    <w:pPr>
      <w:numPr>
        <w:ilvl w:val="6"/>
      </w:numPr>
      <w:outlineLvl w:val="6"/>
    </w:pPr>
  </w:style>
  <w:style w:type="paragraph" w:styleId="Heading8">
    <w:name w:val="heading 8"/>
    <w:aliases w:val="Heading 8 (Do Not Use),Legal Level 1.1.1.,Lev 8,h8 DO NOT USE,PA Appendix Minor,Blank 4,code/paths"/>
    <w:basedOn w:val="Normal"/>
    <w:next w:val="Normal"/>
    <w:link w:val="Heading8Char"/>
    <w:uiPriority w:val="99"/>
    <w:qFormat/>
    <w:rsid w:val="00C71DFA"/>
    <w:pPr>
      <w:keepNext/>
      <w:widowControl w:val="0"/>
      <w:numPr>
        <w:ilvl w:val="7"/>
        <w:numId w:val="4"/>
      </w:numPr>
      <w:overflowPunct w:val="0"/>
      <w:autoSpaceDE w:val="0"/>
      <w:autoSpaceDN w:val="0"/>
      <w:adjustRightInd w:val="0"/>
      <w:spacing w:after="240" w:line="360" w:lineRule="auto"/>
      <w:jc w:val="center"/>
      <w:textAlignment w:val="baseline"/>
      <w:outlineLvl w:val="7"/>
    </w:pPr>
    <w:rPr>
      <w:rFonts w:ascii="Arial" w:eastAsia="Times New Roman" w:hAnsi="Arial" w:cs="Times New Roman"/>
      <w:b/>
      <w:caps/>
      <w:szCs w:val="20"/>
    </w:rPr>
  </w:style>
  <w:style w:type="paragraph" w:styleId="Heading9">
    <w:name w:val="heading 9"/>
    <w:aliases w:val="Heading 9 (Do Not Use),Heading 9 (defunct),Legal Level 1.1.1.1.,Lev 9,h9 DO NOT USE,App Heading,Titre 10,App1,Blank 5,appendix,Appendix"/>
    <w:basedOn w:val="Heading8"/>
    <w:next w:val="Normal"/>
    <w:link w:val="Heading9Char"/>
    <w:uiPriority w:val="99"/>
    <w:qFormat/>
    <w:rsid w:val="00C71DFA"/>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5355"/>
    <w:pPr>
      <w:ind w:left="720"/>
      <w:contextualSpacing/>
    </w:pPr>
  </w:style>
  <w:style w:type="character" w:customStyle="1" w:styleId="ListParagraphChar">
    <w:name w:val="List Paragraph Char"/>
    <w:basedOn w:val="DefaultParagraphFont"/>
    <w:link w:val="ListParagraph"/>
    <w:uiPriority w:val="34"/>
    <w:rsid w:val="00405355"/>
    <w:rPr>
      <w:rFonts w:eastAsiaTheme="minorEastAsia"/>
      <w:lang w:eastAsia="en-GB"/>
    </w:rPr>
  </w:style>
  <w:style w:type="paragraph" w:customStyle="1" w:styleId="MarginText">
    <w:name w:val="Margin Text"/>
    <w:basedOn w:val="Normal"/>
    <w:link w:val="MarginTextChar"/>
    <w:rsid w:val="005E4693"/>
    <w:pPr>
      <w:adjustRightInd w:val="0"/>
      <w:spacing w:before="60" w:after="60" w:line="240" w:lineRule="auto"/>
      <w:jc w:val="both"/>
    </w:pPr>
    <w:rPr>
      <w:rFonts w:ascii="Arial" w:eastAsia="STZhongsong" w:hAnsi="Arial" w:cs="Times New Roman"/>
      <w:sz w:val="20"/>
      <w:szCs w:val="20"/>
      <w:lang w:eastAsia="zh-CN"/>
    </w:rPr>
  </w:style>
  <w:style w:type="character" w:customStyle="1" w:styleId="MarginTextChar">
    <w:name w:val="Margin Text Char"/>
    <w:basedOn w:val="DefaultParagraphFont"/>
    <w:link w:val="MarginText"/>
    <w:rsid w:val="005E4693"/>
    <w:rPr>
      <w:rFonts w:ascii="Arial" w:eastAsia="STZhongsong" w:hAnsi="Arial" w:cs="Times New Roman"/>
      <w:sz w:val="20"/>
      <w:szCs w:val="20"/>
      <w:lang w:eastAsia="zh-CN"/>
    </w:rPr>
  </w:style>
  <w:style w:type="paragraph" w:styleId="ListNumber">
    <w:name w:val="List Number"/>
    <w:basedOn w:val="Normal"/>
    <w:rsid w:val="005E4693"/>
    <w:pPr>
      <w:numPr>
        <w:numId w:val="2"/>
      </w:numPr>
      <w:spacing w:after="0" w:line="240" w:lineRule="auto"/>
      <w:ind w:left="360"/>
    </w:pPr>
    <w:rPr>
      <w:rFonts w:ascii="Arial" w:eastAsia="SimSun" w:hAnsi="Arial" w:cs="Times New Roman"/>
      <w:szCs w:val="24"/>
      <w:lang w:eastAsia="zh-CN"/>
    </w:rPr>
  </w:style>
  <w:style w:type="character" w:styleId="CommentReference">
    <w:name w:val="annotation reference"/>
    <w:basedOn w:val="DefaultParagraphFont"/>
    <w:uiPriority w:val="99"/>
    <w:unhideWhenUsed/>
    <w:rsid w:val="005E4693"/>
    <w:rPr>
      <w:sz w:val="16"/>
      <w:szCs w:val="16"/>
    </w:rPr>
  </w:style>
  <w:style w:type="paragraph" w:styleId="CommentText">
    <w:name w:val="annotation text"/>
    <w:basedOn w:val="Normal"/>
    <w:link w:val="CommentTextChar"/>
    <w:uiPriority w:val="99"/>
    <w:unhideWhenUsed/>
    <w:rsid w:val="005E4693"/>
    <w:pPr>
      <w:spacing w:line="240" w:lineRule="auto"/>
    </w:pPr>
    <w:rPr>
      <w:sz w:val="20"/>
      <w:szCs w:val="20"/>
    </w:rPr>
  </w:style>
  <w:style w:type="character" w:customStyle="1" w:styleId="CommentTextChar">
    <w:name w:val="Comment Text Char"/>
    <w:basedOn w:val="DefaultParagraphFont"/>
    <w:link w:val="CommentText"/>
    <w:uiPriority w:val="99"/>
    <w:rsid w:val="005E4693"/>
    <w:rPr>
      <w:rFonts w:eastAsiaTheme="minorEastAsia"/>
      <w:sz w:val="20"/>
      <w:szCs w:val="20"/>
      <w:lang w:eastAsia="en-GB"/>
    </w:rPr>
  </w:style>
  <w:style w:type="paragraph" w:styleId="BalloonText">
    <w:name w:val="Balloon Text"/>
    <w:basedOn w:val="Normal"/>
    <w:link w:val="BalloonTextChar"/>
    <w:uiPriority w:val="99"/>
    <w:semiHidden/>
    <w:unhideWhenUsed/>
    <w:rsid w:val="005E4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693"/>
    <w:rPr>
      <w:rFonts w:ascii="Segoe UI" w:eastAsiaTheme="minorEastAsia" w:hAnsi="Segoe UI" w:cs="Segoe UI"/>
      <w:sz w:val="18"/>
      <w:szCs w:val="18"/>
      <w:lang w:eastAsia="en-GB"/>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C71DFA"/>
    <w:rPr>
      <w:rFonts w:ascii="Arial" w:eastAsia="STZhongsong" w:hAnsi="Arial" w:cs="Times New Roman"/>
      <w:b/>
      <w:caps/>
      <w:sz w:val="20"/>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C71DFA"/>
    <w:rPr>
      <w:rFonts w:ascii="Arial" w:eastAsia="STZhongsong" w:hAnsi="Arial" w:cs="Times New Roman"/>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C71DFA"/>
    <w:rPr>
      <w:rFonts w:ascii="Arial" w:eastAsia="STZhongsong" w:hAnsi="Arial" w:cs="Times New Roman"/>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rsid w:val="00C71DFA"/>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C71DFA"/>
    <w:rPr>
      <w:rFonts w:asciiTheme="majorHAnsi" w:eastAsiaTheme="majorEastAsia" w:hAnsiTheme="majorHAnsi" w:cstheme="majorBidi"/>
      <w:color w:val="1F4D78" w:themeColor="accent1" w:themeShade="7F"/>
      <w:lang w:eastAsia="en-GB"/>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rsid w:val="00C71DFA"/>
    <w:rPr>
      <w:rFonts w:ascii="Arial" w:eastAsia="Times New Roman" w:hAnsi="Arial" w:cs="Times New Roman"/>
      <w:szCs w:val="20"/>
      <w:lang w:eastAsia="en-GB"/>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rsid w:val="00C71DFA"/>
    <w:rPr>
      <w:rFonts w:ascii="Arial" w:eastAsia="Times New Roman" w:hAnsi="Arial" w:cs="Times New Roman"/>
      <w:szCs w:val="20"/>
      <w:lang w:eastAsia="en-GB"/>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9"/>
    <w:rsid w:val="00C71DFA"/>
    <w:rPr>
      <w:rFonts w:ascii="Arial" w:eastAsia="Times New Roman" w:hAnsi="Arial" w:cs="Times New Roman"/>
      <w:b/>
      <w:caps/>
      <w:szCs w:val="20"/>
      <w:lang w:eastAsia="en-GB"/>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uiPriority w:val="99"/>
    <w:rsid w:val="00C71DFA"/>
    <w:rPr>
      <w:rFonts w:ascii="Arial" w:eastAsia="Times New Roman" w:hAnsi="Arial" w:cs="Times New Roman"/>
      <w:b/>
      <w:szCs w:val="20"/>
      <w:lang w:eastAsia="en-GB"/>
    </w:rPr>
  </w:style>
  <w:style w:type="character" w:styleId="Hyperlink">
    <w:name w:val="Hyperlink"/>
    <w:basedOn w:val="DefaultParagraphFont"/>
    <w:rsid w:val="00C71DFA"/>
    <w:rPr>
      <w:color w:val="0000FF"/>
      <w:u w:val="single"/>
    </w:rPr>
  </w:style>
  <w:style w:type="paragraph" w:styleId="FootnoteText">
    <w:name w:val="footnote text"/>
    <w:basedOn w:val="Normal"/>
    <w:link w:val="FootnoteTextChar"/>
    <w:uiPriority w:val="99"/>
    <w:semiHidden/>
    <w:unhideWhenUsed/>
    <w:rsid w:val="00526E3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526E3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26E39"/>
    <w:rPr>
      <w:vertAlign w:val="superscript"/>
    </w:rPr>
  </w:style>
  <w:style w:type="table" w:styleId="TableGrid">
    <w:name w:val="Table Grid"/>
    <w:basedOn w:val="TableNormal"/>
    <w:uiPriority w:val="59"/>
    <w:rsid w:val="0052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A0C7E"/>
    <w:rPr>
      <w:b/>
      <w:bCs/>
    </w:rPr>
  </w:style>
  <w:style w:type="character" w:customStyle="1" w:styleId="CommentSubjectChar">
    <w:name w:val="Comment Subject Char"/>
    <w:basedOn w:val="CommentTextChar"/>
    <w:link w:val="CommentSubject"/>
    <w:uiPriority w:val="99"/>
    <w:semiHidden/>
    <w:rsid w:val="00DA0C7E"/>
    <w:rPr>
      <w:rFonts w:eastAsiaTheme="minorEastAsia"/>
      <w:b/>
      <w:bCs/>
      <w:sz w:val="20"/>
      <w:szCs w:val="20"/>
      <w:lang w:eastAsia="en-GB"/>
    </w:rPr>
  </w:style>
  <w:style w:type="character" w:styleId="FollowedHyperlink">
    <w:name w:val="FollowedHyperlink"/>
    <w:basedOn w:val="DefaultParagraphFont"/>
    <w:uiPriority w:val="99"/>
    <w:semiHidden/>
    <w:unhideWhenUsed/>
    <w:rsid w:val="005F784F"/>
    <w:rPr>
      <w:color w:val="954F72" w:themeColor="followedHyperlink"/>
      <w:u w:val="single"/>
    </w:rPr>
  </w:style>
  <w:style w:type="paragraph" w:styleId="Revision">
    <w:name w:val="Revision"/>
    <w:hidden/>
    <w:uiPriority w:val="99"/>
    <w:semiHidden/>
    <w:rsid w:val="00C21694"/>
    <w:pPr>
      <w:spacing w:after="0" w:line="240" w:lineRule="auto"/>
    </w:pPr>
    <w:rPr>
      <w:rFonts w:eastAsiaTheme="minorEastAsia"/>
      <w:lang w:eastAsia="en-GB"/>
    </w:rPr>
  </w:style>
  <w:style w:type="paragraph" w:styleId="Header">
    <w:name w:val="header"/>
    <w:basedOn w:val="Normal"/>
    <w:link w:val="HeaderChar"/>
    <w:uiPriority w:val="99"/>
    <w:unhideWhenUsed/>
    <w:rsid w:val="002F0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388"/>
    <w:rPr>
      <w:rFonts w:eastAsiaTheme="minorEastAsia"/>
      <w:lang w:eastAsia="en-GB"/>
    </w:rPr>
  </w:style>
  <w:style w:type="paragraph" w:styleId="Footer">
    <w:name w:val="footer"/>
    <w:basedOn w:val="Normal"/>
    <w:link w:val="FooterChar"/>
    <w:uiPriority w:val="99"/>
    <w:unhideWhenUsed/>
    <w:rsid w:val="002F0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388"/>
    <w:rPr>
      <w:rFonts w:eastAsiaTheme="minorEastAsia"/>
      <w:lang w:eastAsia="en-GB"/>
    </w:rPr>
  </w:style>
  <w:style w:type="paragraph" w:styleId="BodyText">
    <w:name w:val="Body Text"/>
    <w:basedOn w:val="Normal"/>
    <w:link w:val="BodyTextChar"/>
    <w:uiPriority w:val="99"/>
    <w:unhideWhenUsed/>
    <w:rsid w:val="006B5E75"/>
    <w:pPr>
      <w:ind w:right="440"/>
    </w:pPr>
  </w:style>
  <w:style w:type="character" w:customStyle="1" w:styleId="BodyTextChar">
    <w:name w:val="Body Text Char"/>
    <w:basedOn w:val="DefaultParagraphFont"/>
    <w:link w:val="BodyText"/>
    <w:uiPriority w:val="99"/>
    <w:rsid w:val="006B5E75"/>
    <w:rPr>
      <w:rFonts w:eastAsiaTheme="minorEastAsia"/>
      <w:lang w:eastAsia="en-GB"/>
    </w:rPr>
  </w:style>
  <w:style w:type="paragraph" w:styleId="BodyText2">
    <w:name w:val="Body Text 2"/>
    <w:basedOn w:val="Normal"/>
    <w:link w:val="BodyText2Char"/>
    <w:uiPriority w:val="99"/>
    <w:unhideWhenUsed/>
    <w:rsid w:val="00B54860"/>
    <w:pPr>
      <w:tabs>
        <w:tab w:val="center" w:pos="4513"/>
      </w:tabs>
      <w:spacing w:after="120" w:line="240" w:lineRule="auto"/>
      <w:jc w:val="center"/>
    </w:pPr>
    <w:rPr>
      <w:rFonts w:ascii="Arial" w:eastAsia="Times New Roman" w:hAnsi="Arial" w:cs="Arial"/>
      <w:b/>
      <w:bCs/>
      <w:sz w:val="28"/>
      <w:szCs w:val="28"/>
    </w:rPr>
  </w:style>
  <w:style w:type="character" w:customStyle="1" w:styleId="BodyText2Char">
    <w:name w:val="Body Text 2 Char"/>
    <w:basedOn w:val="DefaultParagraphFont"/>
    <w:link w:val="BodyText2"/>
    <w:uiPriority w:val="99"/>
    <w:rsid w:val="00B54860"/>
    <w:rPr>
      <w:rFonts w:ascii="Arial" w:eastAsia="Times New Roman" w:hAnsi="Arial" w:cs="Arial"/>
      <w:b/>
      <w:bCs/>
      <w:sz w:val="28"/>
      <w:szCs w:val="28"/>
      <w:lang w:eastAsia="en-GB"/>
    </w:rPr>
  </w:style>
  <w:style w:type="paragraph" w:styleId="BodyText3">
    <w:name w:val="Body Text 3"/>
    <w:basedOn w:val="Normal"/>
    <w:link w:val="BodyText3Char"/>
    <w:uiPriority w:val="99"/>
    <w:unhideWhenUsed/>
    <w:rsid w:val="0009209C"/>
    <w:rPr>
      <w:rFonts w:ascii="Arial" w:hAnsi="Arial" w:cs="Arial"/>
      <w:strike/>
      <w:color w:val="000000" w:themeColor="text1"/>
    </w:rPr>
  </w:style>
  <w:style w:type="character" w:customStyle="1" w:styleId="BodyText3Char">
    <w:name w:val="Body Text 3 Char"/>
    <w:basedOn w:val="DefaultParagraphFont"/>
    <w:link w:val="BodyText3"/>
    <w:uiPriority w:val="99"/>
    <w:rsid w:val="0009209C"/>
    <w:rPr>
      <w:rFonts w:ascii="Arial" w:eastAsiaTheme="minorEastAsia" w:hAnsi="Arial" w:cs="Arial"/>
      <w:strike/>
      <w:color w:val="000000" w:themeColor="text1"/>
      <w:lang w:eastAsia="en-GB"/>
    </w:rPr>
  </w:style>
  <w:style w:type="paragraph" w:customStyle="1" w:styleId="Style9">
    <w:name w:val="Style9"/>
    <w:basedOn w:val="ListParagraph"/>
    <w:qFormat/>
    <w:rsid w:val="00BC00AB"/>
    <w:pPr>
      <w:spacing w:before="120" w:after="120" w:line="240" w:lineRule="auto"/>
      <w:ind w:left="576" w:hanging="576"/>
      <w:contextualSpacing w:val="0"/>
      <w:jc w:val="both"/>
    </w:pPr>
    <w:rPr>
      <w:rFonts w:ascii="Arial" w:eastAsia="Times New Roman" w:hAnsi="Arial" w:cs="Arial"/>
      <w:lang w:eastAsia="zh-CN"/>
    </w:rPr>
  </w:style>
  <w:style w:type="character" w:customStyle="1" w:styleId="hvr">
    <w:name w:val="hvr"/>
    <w:basedOn w:val="DefaultParagraphFont"/>
    <w:rsid w:val="00474616"/>
  </w:style>
  <w:style w:type="character" w:customStyle="1" w:styleId="apple-converted-space">
    <w:name w:val="apple-converted-space"/>
    <w:basedOn w:val="DefaultParagraphFont"/>
    <w:rsid w:val="00BB02B6"/>
  </w:style>
  <w:style w:type="character" w:styleId="Emphasis">
    <w:name w:val="Emphasis"/>
    <w:basedOn w:val="DefaultParagraphFont"/>
    <w:uiPriority w:val="20"/>
    <w:qFormat/>
    <w:rsid w:val="00BB02B6"/>
    <w:rPr>
      <w:i/>
      <w:iCs/>
    </w:rPr>
  </w:style>
  <w:style w:type="paragraph" w:styleId="NormalWeb">
    <w:name w:val="Normal (Web)"/>
    <w:basedOn w:val="Normal"/>
    <w:uiPriority w:val="99"/>
    <w:semiHidden/>
    <w:unhideWhenUsed/>
    <w:rsid w:val="00704B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1">
    <w:name w:val="Style1.1.1"/>
    <w:basedOn w:val="ListParagraph"/>
    <w:link w:val="Style111Char"/>
    <w:qFormat/>
    <w:rsid w:val="002B64DA"/>
    <w:pPr>
      <w:numPr>
        <w:ilvl w:val="2"/>
        <w:numId w:val="3"/>
      </w:numPr>
      <w:spacing w:before="120" w:after="0" w:line="240" w:lineRule="auto"/>
      <w:contextualSpacing w:val="0"/>
      <w:jc w:val="both"/>
    </w:pPr>
    <w:rPr>
      <w:rFonts w:ascii="Arial" w:hAnsi="Arial" w:cs="Arial"/>
    </w:rPr>
  </w:style>
  <w:style w:type="paragraph" w:customStyle="1" w:styleId="Style11211">
    <w:name w:val="Style1.1.21.1"/>
    <w:basedOn w:val="Style111"/>
    <w:link w:val="Style11211Char"/>
    <w:qFormat/>
    <w:rsid w:val="00CC5B76"/>
    <w:pPr>
      <w:numPr>
        <w:ilvl w:val="3"/>
      </w:numPr>
      <w:ind w:left="1432"/>
    </w:pPr>
    <w:rPr>
      <w:b/>
    </w:rPr>
  </w:style>
  <w:style w:type="character" w:customStyle="1" w:styleId="Style111Char">
    <w:name w:val="Style1.1.1 Char"/>
    <w:basedOn w:val="ListParagraphChar"/>
    <w:link w:val="Style111"/>
    <w:rsid w:val="002B64DA"/>
    <w:rPr>
      <w:rFonts w:ascii="Arial" w:eastAsiaTheme="minorEastAsia" w:hAnsi="Arial" w:cs="Arial"/>
      <w:lang w:eastAsia="en-GB"/>
    </w:rPr>
  </w:style>
  <w:style w:type="paragraph" w:customStyle="1" w:styleId="SM1">
    <w:name w:val="SM1"/>
    <w:basedOn w:val="ListParagraph"/>
    <w:next w:val="SM11"/>
    <w:link w:val="SM1Char"/>
    <w:qFormat/>
    <w:rsid w:val="00921989"/>
    <w:pPr>
      <w:numPr>
        <w:numId w:val="1"/>
      </w:numPr>
      <w:tabs>
        <w:tab w:val="center" w:pos="4513"/>
      </w:tabs>
      <w:spacing w:before="360" w:after="120" w:line="240" w:lineRule="auto"/>
      <w:jc w:val="both"/>
    </w:pPr>
    <w:rPr>
      <w:rFonts w:ascii="Arial" w:eastAsia="Times New Roman" w:hAnsi="Arial" w:cs="Arial"/>
      <w:b/>
      <w:bCs/>
    </w:rPr>
  </w:style>
  <w:style w:type="character" w:customStyle="1" w:styleId="Style11211Char">
    <w:name w:val="Style1.1.21.1 Char"/>
    <w:basedOn w:val="Style111Char"/>
    <w:link w:val="Style11211"/>
    <w:rsid w:val="00CC5B76"/>
    <w:rPr>
      <w:rFonts w:ascii="Arial" w:eastAsiaTheme="minorEastAsia" w:hAnsi="Arial" w:cs="Arial"/>
      <w:b/>
      <w:lang w:eastAsia="en-GB"/>
    </w:rPr>
  </w:style>
  <w:style w:type="paragraph" w:customStyle="1" w:styleId="SM11">
    <w:name w:val="SM1.1"/>
    <w:basedOn w:val="ListParagraph"/>
    <w:next w:val="SM111"/>
    <w:link w:val="SM11Char"/>
    <w:qFormat/>
    <w:rsid w:val="00534061"/>
    <w:pPr>
      <w:numPr>
        <w:ilvl w:val="1"/>
        <w:numId w:val="3"/>
      </w:numPr>
      <w:spacing w:before="120" w:after="0" w:line="240" w:lineRule="auto"/>
      <w:contextualSpacing w:val="0"/>
      <w:jc w:val="both"/>
    </w:pPr>
    <w:rPr>
      <w:rFonts w:ascii="Arial" w:hAnsi="Arial"/>
    </w:rPr>
  </w:style>
  <w:style w:type="character" w:customStyle="1" w:styleId="SM1Char">
    <w:name w:val="SM1 Char"/>
    <w:basedOn w:val="ListParagraphChar"/>
    <w:link w:val="SM1"/>
    <w:rsid w:val="00921989"/>
    <w:rPr>
      <w:rFonts w:ascii="Arial" w:eastAsia="Times New Roman" w:hAnsi="Arial" w:cs="Arial"/>
      <w:b/>
      <w:bCs/>
      <w:lang w:eastAsia="en-GB"/>
    </w:rPr>
  </w:style>
  <w:style w:type="paragraph" w:customStyle="1" w:styleId="SM111">
    <w:name w:val="SM1.1.1"/>
    <w:basedOn w:val="Style111"/>
    <w:next w:val="SM1111"/>
    <w:link w:val="SM111Char"/>
    <w:qFormat/>
    <w:rsid w:val="00921989"/>
  </w:style>
  <w:style w:type="character" w:customStyle="1" w:styleId="SM11Char">
    <w:name w:val="SM1.1 Char"/>
    <w:basedOn w:val="ListParagraphChar"/>
    <w:link w:val="SM11"/>
    <w:rsid w:val="00BB723E"/>
    <w:rPr>
      <w:rFonts w:ascii="Arial" w:eastAsiaTheme="minorEastAsia" w:hAnsi="Arial"/>
      <w:lang w:eastAsia="en-GB"/>
    </w:rPr>
  </w:style>
  <w:style w:type="paragraph" w:customStyle="1" w:styleId="SM1111">
    <w:name w:val="SM1.1.1.1"/>
    <w:basedOn w:val="Style11211"/>
    <w:next w:val="SM15"/>
    <w:link w:val="SM1111Char"/>
    <w:qFormat/>
    <w:rsid w:val="00921989"/>
    <w:pPr>
      <w:ind w:left="2849"/>
    </w:pPr>
    <w:rPr>
      <w:b w:val="0"/>
    </w:rPr>
  </w:style>
  <w:style w:type="character" w:customStyle="1" w:styleId="SM111Char">
    <w:name w:val="SM1.1.1 Char"/>
    <w:basedOn w:val="Style111Char"/>
    <w:link w:val="SM111"/>
    <w:rsid w:val="00921989"/>
    <w:rPr>
      <w:rFonts w:ascii="Arial" w:eastAsiaTheme="minorEastAsia" w:hAnsi="Arial" w:cs="Arial"/>
      <w:lang w:eastAsia="en-GB"/>
    </w:rPr>
  </w:style>
  <w:style w:type="paragraph" w:customStyle="1" w:styleId="SM15">
    <w:name w:val="SM1.5"/>
    <w:basedOn w:val="Style11211"/>
    <w:link w:val="SM15Char"/>
    <w:qFormat/>
    <w:rsid w:val="0021095C"/>
    <w:pPr>
      <w:numPr>
        <w:ilvl w:val="4"/>
      </w:numPr>
    </w:pPr>
    <w:rPr>
      <w:b w:val="0"/>
    </w:rPr>
  </w:style>
  <w:style w:type="character" w:customStyle="1" w:styleId="SM1111Char">
    <w:name w:val="SM1.1.1.1 Char"/>
    <w:basedOn w:val="Style11211Char"/>
    <w:link w:val="SM1111"/>
    <w:rsid w:val="00921989"/>
    <w:rPr>
      <w:rFonts w:ascii="Arial" w:eastAsiaTheme="minorEastAsia" w:hAnsi="Arial" w:cs="Arial"/>
      <w:b w:val="0"/>
      <w:lang w:eastAsia="en-GB"/>
    </w:rPr>
  </w:style>
  <w:style w:type="paragraph" w:customStyle="1" w:styleId="dotStyleSM">
    <w:name w:val="dot Style SM"/>
    <w:basedOn w:val="ListParagraph"/>
    <w:link w:val="dotStyleSMChar"/>
    <w:qFormat/>
    <w:rsid w:val="00BB723E"/>
    <w:pPr>
      <w:numPr>
        <w:numId w:val="5"/>
      </w:numPr>
      <w:spacing w:before="120" w:after="0" w:line="240" w:lineRule="auto"/>
      <w:contextualSpacing w:val="0"/>
      <w:jc w:val="both"/>
    </w:pPr>
    <w:rPr>
      <w:rFonts w:ascii="Arial" w:hAnsi="Arial" w:cs="Arial"/>
      <w:szCs w:val="24"/>
    </w:rPr>
  </w:style>
  <w:style w:type="character" w:customStyle="1" w:styleId="SM15Char">
    <w:name w:val="SM1.5 Char"/>
    <w:basedOn w:val="Style11211Char"/>
    <w:link w:val="SM15"/>
    <w:rsid w:val="0021095C"/>
    <w:rPr>
      <w:rFonts w:ascii="Arial" w:eastAsiaTheme="minorEastAsia" w:hAnsi="Arial" w:cs="Arial"/>
      <w:b w:val="0"/>
      <w:lang w:eastAsia="en-GB"/>
    </w:rPr>
  </w:style>
  <w:style w:type="character" w:customStyle="1" w:styleId="dotStyleSMChar">
    <w:name w:val="dot Style SM Char"/>
    <w:basedOn w:val="ListParagraphChar"/>
    <w:link w:val="dotStyleSM"/>
    <w:rsid w:val="00BB723E"/>
    <w:rPr>
      <w:rFonts w:ascii="Arial" w:eastAsiaTheme="minorEastAsia" w:hAnsi="Arial" w:cs="Arial"/>
      <w:szCs w:val="24"/>
      <w:lang w:eastAsia="en-GB"/>
    </w:rPr>
  </w:style>
  <w:style w:type="paragraph" w:styleId="Title">
    <w:name w:val="Title"/>
    <w:basedOn w:val="Normal"/>
    <w:next w:val="Normal"/>
    <w:link w:val="TitleChar"/>
    <w:uiPriority w:val="10"/>
    <w:qFormat/>
    <w:rsid w:val="00C708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086E"/>
    <w:rPr>
      <w:rFonts w:asciiTheme="majorHAnsi" w:eastAsiaTheme="majorEastAsia" w:hAnsiTheme="majorHAnsi" w:cstheme="majorBidi"/>
      <w:spacing w:val="-10"/>
      <w:kern w:val="28"/>
      <w:sz w:val="56"/>
      <w:szCs w:val="56"/>
      <w:lang w:eastAsia="en-GB"/>
    </w:rPr>
  </w:style>
  <w:style w:type="paragraph" w:customStyle="1" w:styleId="a">
    <w:name w:val="a"/>
    <w:basedOn w:val="ListParagraph"/>
    <w:link w:val="aChar"/>
    <w:qFormat/>
    <w:rsid w:val="00C42D38"/>
    <w:pPr>
      <w:framePr w:hSpace="180" w:wrap="around" w:vAnchor="text" w:hAnchor="text" w:y="1"/>
      <w:numPr>
        <w:numId w:val="8"/>
      </w:numPr>
      <w:suppressOverlap/>
    </w:pPr>
    <w:rPr>
      <w:rFonts w:ascii="Arial" w:hAnsi="Arial" w:cs="Arial"/>
    </w:rPr>
  </w:style>
  <w:style w:type="character" w:customStyle="1" w:styleId="aChar">
    <w:name w:val="a Char"/>
    <w:basedOn w:val="ListParagraphChar"/>
    <w:link w:val="a"/>
    <w:rsid w:val="00C42D38"/>
    <w:rPr>
      <w:rFonts w:ascii="Arial" w:eastAsiaTheme="minorEastAsia"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2320">
      <w:bodyDiv w:val="1"/>
      <w:marLeft w:val="0"/>
      <w:marRight w:val="0"/>
      <w:marTop w:val="0"/>
      <w:marBottom w:val="0"/>
      <w:divBdr>
        <w:top w:val="none" w:sz="0" w:space="0" w:color="auto"/>
        <w:left w:val="none" w:sz="0" w:space="0" w:color="auto"/>
        <w:bottom w:val="none" w:sz="0" w:space="0" w:color="auto"/>
        <w:right w:val="none" w:sz="0" w:space="0" w:color="auto"/>
      </w:divBdr>
    </w:div>
    <w:div w:id="191039308">
      <w:bodyDiv w:val="1"/>
      <w:marLeft w:val="0"/>
      <w:marRight w:val="0"/>
      <w:marTop w:val="0"/>
      <w:marBottom w:val="0"/>
      <w:divBdr>
        <w:top w:val="none" w:sz="0" w:space="0" w:color="auto"/>
        <w:left w:val="none" w:sz="0" w:space="0" w:color="auto"/>
        <w:bottom w:val="none" w:sz="0" w:space="0" w:color="auto"/>
        <w:right w:val="none" w:sz="0" w:space="0" w:color="auto"/>
      </w:divBdr>
      <w:divsChild>
        <w:div w:id="523326523">
          <w:marLeft w:val="0"/>
          <w:marRight w:val="0"/>
          <w:marTop w:val="0"/>
          <w:marBottom w:val="0"/>
          <w:divBdr>
            <w:top w:val="none" w:sz="0" w:space="0" w:color="auto"/>
            <w:left w:val="none" w:sz="0" w:space="0" w:color="auto"/>
            <w:bottom w:val="none" w:sz="0" w:space="0" w:color="auto"/>
            <w:right w:val="none" w:sz="0" w:space="0" w:color="auto"/>
          </w:divBdr>
        </w:div>
        <w:div w:id="709108165">
          <w:marLeft w:val="0"/>
          <w:marRight w:val="0"/>
          <w:marTop w:val="0"/>
          <w:marBottom w:val="0"/>
          <w:divBdr>
            <w:top w:val="none" w:sz="0" w:space="0" w:color="auto"/>
            <w:left w:val="none" w:sz="0" w:space="0" w:color="auto"/>
            <w:bottom w:val="none" w:sz="0" w:space="0" w:color="auto"/>
            <w:right w:val="none" w:sz="0" w:space="0" w:color="auto"/>
          </w:divBdr>
        </w:div>
        <w:div w:id="868758370">
          <w:marLeft w:val="0"/>
          <w:marRight w:val="0"/>
          <w:marTop w:val="0"/>
          <w:marBottom w:val="0"/>
          <w:divBdr>
            <w:top w:val="none" w:sz="0" w:space="0" w:color="auto"/>
            <w:left w:val="none" w:sz="0" w:space="0" w:color="auto"/>
            <w:bottom w:val="none" w:sz="0" w:space="0" w:color="auto"/>
            <w:right w:val="none" w:sz="0" w:space="0" w:color="auto"/>
          </w:divBdr>
        </w:div>
        <w:div w:id="1334456268">
          <w:marLeft w:val="0"/>
          <w:marRight w:val="0"/>
          <w:marTop w:val="0"/>
          <w:marBottom w:val="0"/>
          <w:divBdr>
            <w:top w:val="none" w:sz="0" w:space="0" w:color="auto"/>
            <w:left w:val="none" w:sz="0" w:space="0" w:color="auto"/>
            <w:bottom w:val="none" w:sz="0" w:space="0" w:color="auto"/>
            <w:right w:val="none" w:sz="0" w:space="0" w:color="auto"/>
          </w:divBdr>
        </w:div>
      </w:divsChild>
    </w:div>
    <w:div w:id="284652816">
      <w:bodyDiv w:val="1"/>
      <w:marLeft w:val="0"/>
      <w:marRight w:val="0"/>
      <w:marTop w:val="0"/>
      <w:marBottom w:val="0"/>
      <w:divBdr>
        <w:top w:val="none" w:sz="0" w:space="0" w:color="auto"/>
        <w:left w:val="none" w:sz="0" w:space="0" w:color="auto"/>
        <w:bottom w:val="none" w:sz="0" w:space="0" w:color="auto"/>
        <w:right w:val="none" w:sz="0" w:space="0" w:color="auto"/>
      </w:divBdr>
    </w:div>
    <w:div w:id="362873214">
      <w:bodyDiv w:val="1"/>
      <w:marLeft w:val="0"/>
      <w:marRight w:val="0"/>
      <w:marTop w:val="0"/>
      <w:marBottom w:val="0"/>
      <w:divBdr>
        <w:top w:val="none" w:sz="0" w:space="0" w:color="auto"/>
        <w:left w:val="none" w:sz="0" w:space="0" w:color="auto"/>
        <w:bottom w:val="none" w:sz="0" w:space="0" w:color="auto"/>
        <w:right w:val="none" w:sz="0" w:space="0" w:color="auto"/>
      </w:divBdr>
    </w:div>
    <w:div w:id="997264643">
      <w:bodyDiv w:val="1"/>
      <w:marLeft w:val="0"/>
      <w:marRight w:val="0"/>
      <w:marTop w:val="0"/>
      <w:marBottom w:val="0"/>
      <w:divBdr>
        <w:top w:val="none" w:sz="0" w:space="0" w:color="auto"/>
        <w:left w:val="none" w:sz="0" w:space="0" w:color="auto"/>
        <w:bottom w:val="none" w:sz="0" w:space="0" w:color="auto"/>
        <w:right w:val="none" w:sz="0" w:space="0" w:color="auto"/>
      </w:divBdr>
    </w:div>
    <w:div w:id="1312097237">
      <w:bodyDiv w:val="1"/>
      <w:marLeft w:val="0"/>
      <w:marRight w:val="0"/>
      <w:marTop w:val="0"/>
      <w:marBottom w:val="0"/>
      <w:divBdr>
        <w:top w:val="none" w:sz="0" w:space="0" w:color="auto"/>
        <w:left w:val="none" w:sz="0" w:space="0" w:color="auto"/>
        <w:bottom w:val="none" w:sz="0" w:space="0" w:color="auto"/>
        <w:right w:val="none" w:sz="0" w:space="0" w:color="auto"/>
      </w:divBdr>
    </w:div>
    <w:div w:id="1763261289">
      <w:bodyDiv w:val="1"/>
      <w:marLeft w:val="0"/>
      <w:marRight w:val="0"/>
      <w:marTop w:val="0"/>
      <w:marBottom w:val="0"/>
      <w:divBdr>
        <w:top w:val="none" w:sz="0" w:space="0" w:color="auto"/>
        <w:left w:val="none" w:sz="0" w:space="0" w:color="auto"/>
        <w:bottom w:val="none" w:sz="0" w:space="0" w:color="auto"/>
        <w:right w:val="none" w:sz="0" w:space="0" w:color="auto"/>
      </w:divBdr>
    </w:div>
    <w:div w:id="1919709792">
      <w:bodyDiv w:val="1"/>
      <w:marLeft w:val="0"/>
      <w:marRight w:val="0"/>
      <w:marTop w:val="0"/>
      <w:marBottom w:val="0"/>
      <w:divBdr>
        <w:top w:val="none" w:sz="0" w:space="0" w:color="auto"/>
        <w:left w:val="none" w:sz="0" w:space="0" w:color="auto"/>
        <w:bottom w:val="none" w:sz="0" w:space="0" w:color="auto"/>
        <w:right w:val="none" w:sz="0" w:space="0" w:color="auto"/>
      </w:divBdr>
    </w:div>
    <w:div w:id="199629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scot/Topics/Government/Procurement/directory/pscontractcentgovt/LegalServices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A2350-779D-4C4B-B70A-17C41F6C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7047</Words>
  <Characters>40174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Cato</dc:creator>
  <cp:keywords/>
  <dc:description/>
  <cp:lastModifiedBy>Lucy Williams</cp:lastModifiedBy>
  <cp:revision>3</cp:revision>
  <cp:lastPrinted>2016-09-09T09:55:00Z</cp:lastPrinted>
  <dcterms:created xsi:type="dcterms:W3CDTF">2017-03-08T11:09:00Z</dcterms:created>
  <dcterms:modified xsi:type="dcterms:W3CDTF">2017-03-08T11:16:00Z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S_TRACKING_ID">
    <vt:lpwstr>014a9c90-8078-423c-a473-295c85d267ef</vt:lpwstr>
  </property>
</Properties>
</file>