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495FB" w14:textId="77777777" w:rsidR="00C93F2B" w:rsidRDefault="00F01167">
      <w:pPr>
        <w:spacing w:after="120" w:line="254" w:lineRule="auto"/>
        <w:ind w:leftChars="720" w:left="1728" w:firstLine="2268"/>
        <w:rPr>
          <w:rFonts w:eastAsia="Arial Unicode MS"/>
          <w:sz w:val="22"/>
          <w:szCs w:val="22"/>
        </w:rPr>
      </w:pPr>
      <w:bookmarkStart w:id="0" w:name="_GoBack"/>
      <w:bookmarkEnd w:id="0"/>
      <w:r>
        <w:rPr>
          <w:noProof/>
          <w:sz w:val="22"/>
          <w:szCs w:val="22"/>
          <w:lang w:eastAsia="en-GB"/>
        </w:rPr>
        <w:drawing>
          <wp:anchor distT="0" distB="0" distL="114300" distR="114300" simplePos="0" relativeHeight="251684352" behindDoc="0" locked="0" layoutInCell="1" allowOverlap="1" wp14:anchorId="6DE89E78" wp14:editId="10145C7B">
            <wp:simplePos x="0" y="0"/>
            <wp:positionH relativeFrom="column">
              <wp:posOffset>0</wp:posOffset>
            </wp:positionH>
            <wp:positionV relativeFrom="paragraph">
              <wp:posOffset>0</wp:posOffset>
            </wp:positionV>
            <wp:extent cx="1187450" cy="850900"/>
            <wp:effectExtent l="0" t="0" r="0" b="6350"/>
            <wp:wrapSquare wrapText="bothSides"/>
            <wp:docPr id="8"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7450" cy="850900"/>
                    </a:xfrm>
                    <a:prstGeom prst="rect">
                      <a:avLst/>
                    </a:prstGeom>
                    <a:noFill/>
                    <a:ln w="9525">
                      <a:noFill/>
                      <a:miter lim="800000"/>
                      <a:headEnd/>
                      <a:tailEnd/>
                    </a:ln>
                  </pic:spPr>
                </pic:pic>
              </a:graphicData>
            </a:graphic>
          </wp:anchor>
        </w:drawing>
      </w:r>
    </w:p>
    <w:p w14:paraId="1E1A99D3" w14:textId="77777777" w:rsidR="00C93F2B" w:rsidRDefault="00C93F2B">
      <w:pPr>
        <w:spacing w:after="120" w:line="254" w:lineRule="auto"/>
        <w:ind w:leftChars="720" w:left="1728" w:firstLine="2268"/>
        <w:rPr>
          <w:rFonts w:eastAsia="Arial Unicode MS"/>
          <w:sz w:val="22"/>
          <w:szCs w:val="22"/>
        </w:rPr>
      </w:pPr>
    </w:p>
    <w:p w14:paraId="7D8BECBF" w14:textId="77777777" w:rsidR="00C93F2B" w:rsidRDefault="00C93F2B">
      <w:pPr>
        <w:spacing w:after="120" w:line="254" w:lineRule="auto"/>
        <w:ind w:leftChars="720" w:left="1728" w:firstLine="2268"/>
        <w:rPr>
          <w:rFonts w:eastAsia="Arial Unicode MS"/>
          <w:sz w:val="22"/>
          <w:szCs w:val="22"/>
        </w:rPr>
      </w:pPr>
    </w:p>
    <w:p w14:paraId="7C0644F5" w14:textId="77777777" w:rsidR="00C93F2B" w:rsidRDefault="00C93F2B">
      <w:pPr>
        <w:ind w:leftChars="720" w:left="1728" w:firstLine="2268"/>
        <w:rPr>
          <w:color w:val="5B9BD5" w:themeColor="accent1"/>
          <w:sz w:val="28"/>
          <w:szCs w:val="28"/>
        </w:rPr>
      </w:pPr>
    </w:p>
    <w:p w14:paraId="5592AA13" w14:textId="77777777" w:rsidR="00C93F2B" w:rsidRDefault="00C93F2B"/>
    <w:p w14:paraId="6BF47B8D" w14:textId="4C46AC54" w:rsidR="00C93F2B" w:rsidRPr="00967E22" w:rsidRDefault="00F01167" w:rsidP="00967E22">
      <w:pPr>
        <w:rPr>
          <w:sz w:val="40"/>
          <w:szCs w:val="40"/>
        </w:rPr>
      </w:pPr>
      <w:r>
        <w:rPr>
          <w:sz w:val="40"/>
          <w:szCs w:val="40"/>
        </w:rPr>
        <w:t>RM3814 – Vehicle Conversions Dynamic Purchasing System</w:t>
      </w:r>
    </w:p>
    <w:p w14:paraId="00986182" w14:textId="77777777" w:rsidR="00C93F2B" w:rsidRDefault="00C93F2B"/>
    <w:p w14:paraId="70E167A7" w14:textId="55B5A27D" w:rsidR="00C93F2B" w:rsidRDefault="00F01167">
      <w:pPr>
        <w:pStyle w:val="Heading1"/>
        <w:numPr>
          <w:ilvl w:val="0"/>
          <w:numId w:val="12"/>
        </w:numPr>
        <w:rPr>
          <w:b/>
          <w:sz w:val="32"/>
          <w:szCs w:val="32"/>
        </w:rPr>
      </w:pPr>
      <w:bookmarkStart w:id="1" w:name="_Toc487639332"/>
      <w:r w:rsidRPr="008D445D">
        <w:rPr>
          <w:b/>
          <w:color w:val="auto"/>
          <w:sz w:val="32"/>
          <w:szCs w:val="32"/>
        </w:rPr>
        <w:t>Specification</w:t>
      </w:r>
      <w:bookmarkEnd w:id="1"/>
      <w:r w:rsidRPr="008D445D">
        <w:rPr>
          <w:b/>
          <w:color w:val="auto"/>
          <w:sz w:val="32"/>
          <w:szCs w:val="32"/>
        </w:rPr>
        <w:t xml:space="preserve"> </w:t>
      </w:r>
    </w:p>
    <w:p w14:paraId="1252710D" w14:textId="0E43FD62" w:rsidR="00C93F2B" w:rsidRPr="008D445D" w:rsidRDefault="00F01167" w:rsidP="008D445D">
      <w:pPr>
        <w:pStyle w:val="Heading2"/>
        <w:spacing w:before="120" w:after="120"/>
        <w:ind w:left="431" w:hanging="431"/>
        <w:rPr>
          <w:b/>
          <w:color w:val="auto"/>
        </w:rPr>
      </w:pPr>
      <w:bookmarkStart w:id="2" w:name="_Toc487639333"/>
      <w:r w:rsidRPr="008D445D">
        <w:rPr>
          <w:rStyle w:val="Heading2Char"/>
          <w:b/>
          <w:color w:val="auto"/>
        </w:rPr>
        <w:t>Our priorities</w:t>
      </w:r>
      <w:bookmarkEnd w:id="2"/>
      <w:r w:rsidRPr="008D445D">
        <w:rPr>
          <w:rStyle w:val="Heading2Char"/>
          <w:b/>
          <w:color w:val="auto"/>
        </w:rPr>
        <w:t xml:space="preserve"> </w:t>
      </w:r>
      <w:bookmarkStart w:id="3" w:name="_Toc486105765"/>
      <w:bookmarkStart w:id="4" w:name="_Toc486105766"/>
      <w:bookmarkEnd w:id="3"/>
      <w:bookmarkEnd w:id="4"/>
    </w:p>
    <w:p w14:paraId="7FC7B6A4" w14:textId="77777777" w:rsidR="00C93F2B" w:rsidRDefault="00F01167">
      <w:r>
        <w:t xml:space="preserve">Contracting Authorities’ key priorities are to support visibility and control of fleet whole life costs and to influence efficiencies through: </w:t>
      </w:r>
    </w:p>
    <w:p w14:paraId="2BB6B740" w14:textId="77777777" w:rsidR="00C93F2B" w:rsidRDefault="00F01167">
      <w:pPr>
        <w:pStyle w:val="ListParagraph"/>
        <w:numPr>
          <w:ilvl w:val="0"/>
          <w:numId w:val="79"/>
        </w:numPr>
      </w:pPr>
      <w:r>
        <w:t xml:space="preserve">Offering valued vehicle conversion solutions to meet Contracting Authorities individual requirements; </w:t>
      </w:r>
    </w:p>
    <w:p w14:paraId="1BA0EDE4" w14:textId="77777777" w:rsidR="00C93F2B" w:rsidRDefault="00F01167">
      <w:pPr>
        <w:pStyle w:val="ListParagraph"/>
        <w:numPr>
          <w:ilvl w:val="0"/>
          <w:numId w:val="79"/>
        </w:numPr>
      </w:pPr>
      <w:r>
        <w:t>Build and increase capacity of high quality vehicle converters and services;</w:t>
      </w:r>
    </w:p>
    <w:p w14:paraId="443DD34F" w14:textId="5041D37B" w:rsidR="00C93F2B" w:rsidRPr="0010205F" w:rsidRDefault="00F01167" w:rsidP="008D445D">
      <w:pPr>
        <w:pStyle w:val="ListParagraph"/>
        <w:numPr>
          <w:ilvl w:val="0"/>
          <w:numId w:val="79"/>
        </w:numPr>
        <w:rPr>
          <w:rFonts w:eastAsiaTheme="majorEastAsia"/>
        </w:rPr>
      </w:pPr>
      <w:r>
        <w:t xml:space="preserve">Develop a dynamic commercial model for access to vehicle conversions and associated services.  </w:t>
      </w:r>
    </w:p>
    <w:p w14:paraId="12E054EB" w14:textId="77777777" w:rsidR="00C93F2B" w:rsidRPr="008D445D" w:rsidRDefault="00F01167" w:rsidP="008D445D">
      <w:pPr>
        <w:pStyle w:val="Heading2"/>
        <w:spacing w:before="120" w:after="120"/>
        <w:ind w:left="431" w:hanging="431"/>
        <w:rPr>
          <w:b/>
          <w:color w:val="auto"/>
        </w:rPr>
      </w:pPr>
      <w:bookmarkStart w:id="5" w:name="_Toc487639334"/>
      <w:r w:rsidRPr="008D445D">
        <w:rPr>
          <w:rStyle w:val="Heading2Char"/>
          <w:b/>
          <w:color w:val="auto"/>
        </w:rPr>
        <w:t>Scope</w:t>
      </w:r>
      <w:bookmarkEnd w:id="5"/>
      <w:r w:rsidRPr="008D445D">
        <w:rPr>
          <w:b/>
          <w:color w:val="auto"/>
        </w:rPr>
        <w:t xml:space="preserve"> </w:t>
      </w:r>
    </w:p>
    <w:p w14:paraId="43267F55" w14:textId="76212289" w:rsidR="00C93F2B" w:rsidRDefault="00F01167">
      <w:r>
        <w:t>The Supplier shall provide goods and services for Vehicle Conversions as detailed in Annex A – Vehicle Conversion(s) Services Matrix of th</w:t>
      </w:r>
      <w:r w:rsidR="00017217">
        <w:t>e</w:t>
      </w:r>
      <w:r>
        <w:t xml:space="preserve"> DPS Schedule 2 (Goods and</w:t>
      </w:r>
      <w:r w:rsidR="00135C71">
        <w:t xml:space="preserve">/or </w:t>
      </w:r>
      <w:r>
        <w:t>Services</w:t>
      </w:r>
      <w:r w:rsidR="00135C71">
        <w:t xml:space="preserve"> and Key Performance Indicator’s</w:t>
      </w:r>
      <w:r>
        <w:t xml:space="preserve">).  </w:t>
      </w:r>
    </w:p>
    <w:p w14:paraId="36EFB00E" w14:textId="77777777" w:rsidR="00C93F2B" w:rsidRDefault="00F01167">
      <w:r>
        <w:t xml:space="preserve">The core requirement of the Vehicle Conversions shall include but shall not be limited to the following mandatory and desirable requirements:  </w:t>
      </w:r>
    </w:p>
    <w:p w14:paraId="2441CA33" w14:textId="0EE97CBB" w:rsidR="00C93F2B" w:rsidRDefault="00F01167">
      <w:r>
        <w:t>Mandatory</w:t>
      </w:r>
    </w:p>
    <w:p w14:paraId="0AF6DA73" w14:textId="77777777" w:rsidR="00C93F2B" w:rsidRDefault="00F01167">
      <w:pPr>
        <w:pStyle w:val="ListParagraph"/>
        <w:numPr>
          <w:ilvl w:val="0"/>
          <w:numId w:val="61"/>
        </w:numPr>
      </w:pPr>
      <w:r>
        <w:t xml:space="preserve">Turnkey solution for complete supply of vehicle, associated equipment and conversion services </w:t>
      </w:r>
    </w:p>
    <w:p w14:paraId="3B27320A" w14:textId="77777777" w:rsidR="00C93F2B" w:rsidRDefault="00F01167">
      <w:pPr>
        <w:pStyle w:val="ListParagraph"/>
        <w:numPr>
          <w:ilvl w:val="0"/>
          <w:numId w:val="61"/>
        </w:numPr>
      </w:pPr>
      <w:r>
        <w:t xml:space="preserve">Single service items for the conversion of vehicles </w:t>
      </w:r>
    </w:p>
    <w:p w14:paraId="69B76F50" w14:textId="77777777" w:rsidR="00C93F2B" w:rsidRDefault="00F01167">
      <w:pPr>
        <w:pStyle w:val="ListParagraph"/>
        <w:numPr>
          <w:ilvl w:val="0"/>
          <w:numId w:val="61"/>
        </w:numPr>
      </w:pPr>
      <w:r>
        <w:t>Vehicle testing</w:t>
      </w:r>
    </w:p>
    <w:p w14:paraId="6744D74A" w14:textId="48D75A95" w:rsidR="00C93F2B" w:rsidRDefault="00F01167">
      <w:pPr>
        <w:pStyle w:val="ListParagraph"/>
        <w:numPr>
          <w:ilvl w:val="0"/>
          <w:numId w:val="61"/>
        </w:numPr>
      </w:pPr>
      <w:r>
        <w:t>Environmental and sustainability criteria</w:t>
      </w:r>
    </w:p>
    <w:p w14:paraId="57040E6B" w14:textId="77777777" w:rsidR="00C93F2B" w:rsidRDefault="00F01167">
      <w:pPr>
        <w:pStyle w:val="ListParagraph"/>
        <w:numPr>
          <w:ilvl w:val="0"/>
          <w:numId w:val="61"/>
        </w:numPr>
      </w:pPr>
      <w:r>
        <w:t>Health and Safety</w:t>
      </w:r>
    </w:p>
    <w:p w14:paraId="51AA0539" w14:textId="77777777" w:rsidR="00C93F2B" w:rsidRDefault="00F01167">
      <w:pPr>
        <w:pStyle w:val="ListParagraph"/>
        <w:numPr>
          <w:ilvl w:val="0"/>
          <w:numId w:val="61"/>
        </w:numPr>
      </w:pPr>
      <w:r>
        <w:t>Security</w:t>
      </w:r>
    </w:p>
    <w:p w14:paraId="7EA04582" w14:textId="08BAEDE9" w:rsidR="00C93F2B" w:rsidRDefault="00F01167" w:rsidP="0010205F">
      <w:pPr>
        <w:pStyle w:val="ListParagraph"/>
        <w:numPr>
          <w:ilvl w:val="0"/>
          <w:numId w:val="61"/>
        </w:numPr>
      </w:pPr>
      <w:r>
        <w:t>Vetting</w:t>
      </w:r>
    </w:p>
    <w:p w14:paraId="65979904" w14:textId="77777777" w:rsidR="00C93F2B" w:rsidRDefault="00F01167" w:rsidP="008D445D">
      <w:r>
        <w:t>Desirable</w:t>
      </w:r>
    </w:p>
    <w:p w14:paraId="03D62AEA" w14:textId="77777777" w:rsidR="00C93F2B" w:rsidRDefault="00F01167">
      <w:pPr>
        <w:pStyle w:val="ListParagraph"/>
        <w:numPr>
          <w:ilvl w:val="0"/>
          <w:numId w:val="61"/>
        </w:numPr>
      </w:pPr>
      <w:r>
        <w:t>Standalone design and consultancy services</w:t>
      </w:r>
    </w:p>
    <w:p w14:paraId="07088840" w14:textId="77777777" w:rsidR="00C93F2B" w:rsidRDefault="00F01167">
      <w:pPr>
        <w:pStyle w:val="ListParagraph"/>
        <w:numPr>
          <w:ilvl w:val="0"/>
          <w:numId w:val="61"/>
        </w:numPr>
      </w:pPr>
      <w:r>
        <w:t xml:space="preserve">Warranty and after sales </w:t>
      </w:r>
    </w:p>
    <w:p w14:paraId="6D5FBABE" w14:textId="77777777" w:rsidR="00C93F2B" w:rsidRDefault="00F01167">
      <w:pPr>
        <w:pStyle w:val="ListParagraph"/>
        <w:numPr>
          <w:ilvl w:val="0"/>
          <w:numId w:val="61"/>
        </w:numPr>
      </w:pPr>
      <w:r>
        <w:t xml:space="preserve">Vehicle user training and guidance </w:t>
      </w:r>
    </w:p>
    <w:p w14:paraId="0C8BED68" w14:textId="77777777" w:rsidR="00C93F2B" w:rsidRDefault="00F01167">
      <w:pPr>
        <w:pStyle w:val="ListParagraph"/>
        <w:numPr>
          <w:ilvl w:val="0"/>
          <w:numId w:val="61"/>
        </w:numPr>
      </w:pPr>
      <w:r>
        <w:lastRenderedPageBreak/>
        <w:t>Electrical and Communication Equipment Installation:</w:t>
      </w:r>
    </w:p>
    <w:p w14:paraId="6F1F7549" w14:textId="77777777" w:rsidR="00C93F2B" w:rsidRPr="0010205F" w:rsidRDefault="00C93F2B" w:rsidP="008D445D"/>
    <w:p w14:paraId="24E36ECD" w14:textId="77777777" w:rsidR="00C93F2B" w:rsidRPr="008D445D" w:rsidRDefault="00F01167" w:rsidP="008D445D">
      <w:pPr>
        <w:pStyle w:val="Heading2"/>
        <w:spacing w:before="120" w:after="120"/>
        <w:ind w:left="431" w:hanging="431"/>
        <w:rPr>
          <w:b/>
          <w:color w:val="auto"/>
        </w:rPr>
      </w:pPr>
      <w:bookmarkStart w:id="6" w:name="_Toc487639335"/>
      <w:r w:rsidRPr="008D445D">
        <w:rPr>
          <w:b/>
          <w:color w:val="auto"/>
        </w:rPr>
        <w:t>Mandatory Service Requirements</w:t>
      </w:r>
      <w:bookmarkEnd w:id="6"/>
    </w:p>
    <w:p w14:paraId="441E7CEC" w14:textId="33000D1B" w:rsidR="00C93F2B" w:rsidRPr="008D445D" w:rsidRDefault="00F01167">
      <w:pPr>
        <w:rPr>
          <w:b/>
        </w:rPr>
      </w:pPr>
      <w:r w:rsidRPr="008D445D">
        <w:rPr>
          <w:b/>
        </w:rPr>
        <w:t>Vehicle Conversion</w:t>
      </w:r>
      <w:r w:rsidR="00D87027">
        <w:rPr>
          <w:b/>
        </w:rPr>
        <w:t>s</w:t>
      </w:r>
      <w:r w:rsidRPr="008D445D">
        <w:rPr>
          <w:b/>
        </w:rPr>
        <w:t xml:space="preserve">: </w:t>
      </w:r>
    </w:p>
    <w:p w14:paraId="60AB4A64" w14:textId="77777777" w:rsidR="00C93F2B" w:rsidRDefault="00F01167">
      <w:pPr>
        <w:spacing w:after="120"/>
      </w:pPr>
      <w:r>
        <w:t>The Supplier shall offer either one or a combination of the following service requirements:</w:t>
      </w:r>
    </w:p>
    <w:p w14:paraId="2651C44F" w14:textId="2ABA05EE" w:rsidR="00C93F2B" w:rsidRDefault="00F01167">
      <w:pPr>
        <w:pStyle w:val="ListParagraph"/>
        <w:numPr>
          <w:ilvl w:val="0"/>
          <w:numId w:val="60"/>
        </w:numPr>
        <w:spacing w:after="120"/>
      </w:pPr>
      <w:r>
        <w:t>whole Turnkey solution for complete supply of vehicle, associated equipment and conversions services; or</w:t>
      </w:r>
    </w:p>
    <w:p w14:paraId="29E4C658" w14:textId="4794503F" w:rsidR="00C93F2B" w:rsidRDefault="00F01167">
      <w:pPr>
        <w:pStyle w:val="ListParagraph"/>
        <w:numPr>
          <w:ilvl w:val="0"/>
          <w:numId w:val="60"/>
        </w:numPr>
        <w:spacing w:after="120"/>
      </w:pPr>
      <w:r>
        <w:t>single service items for the conversion of vehicles; or</w:t>
      </w:r>
    </w:p>
    <w:p w14:paraId="4899E7EC" w14:textId="1FD754F5" w:rsidR="00C93F2B" w:rsidRDefault="00F01167">
      <w:pPr>
        <w:pStyle w:val="ListParagraph"/>
        <w:numPr>
          <w:ilvl w:val="0"/>
          <w:numId w:val="60"/>
        </w:numPr>
        <w:spacing w:after="120"/>
      </w:pPr>
      <w:r>
        <w:t>any variances in between these service levels</w:t>
      </w:r>
    </w:p>
    <w:p w14:paraId="53632D4A" w14:textId="77777777" w:rsidR="00C93F2B" w:rsidRDefault="00F01167">
      <w:r>
        <w:t>The Supplier shall ensure that all vehicles are converted in accordance with the base vehicle/chassis manufacturer’s body builder guidelines.</w:t>
      </w:r>
    </w:p>
    <w:p w14:paraId="1ECD4095" w14:textId="77777777" w:rsidR="00C93F2B" w:rsidRDefault="00F01167">
      <w:pPr>
        <w:spacing w:after="120"/>
      </w:pPr>
      <w:r>
        <w:t xml:space="preserve">The Supplier shall provide evidence of vehicle or sector specific accreditations or qualifications where requested by Contracting Authorities. </w:t>
      </w:r>
    </w:p>
    <w:p w14:paraId="43335FA8" w14:textId="77777777" w:rsidR="00C93F2B" w:rsidRDefault="00F01167">
      <w:r>
        <w:t xml:space="preserve">The Supplier shall establish and maintain effective relationships with Contracting Authorities in order to ensure the service levels are met as specified in the individual Contracts awarded. </w:t>
      </w:r>
    </w:p>
    <w:p w14:paraId="24E98D78" w14:textId="77777777" w:rsidR="00C93F2B" w:rsidRDefault="00F01167">
      <w:r>
        <w:t>The Supplier shall provide Contracting Authorities with accurate and transparent detailed delivery timescales for all vehicle conversions throughout any contract period.</w:t>
      </w:r>
    </w:p>
    <w:p w14:paraId="2EE4FB7A" w14:textId="77777777" w:rsidR="00C93F2B" w:rsidRDefault="00F01167">
      <w:r>
        <w:t>The Supplier must provide Contracting Authorities with regular updates on the progress for completion of conversion services, and demonstrate ways in which they will mitigate risks of any potential delays.</w:t>
      </w:r>
    </w:p>
    <w:p w14:paraId="21904AB8" w14:textId="77777777" w:rsidR="00C93F2B" w:rsidRDefault="00F01167">
      <w:r>
        <w:t xml:space="preserve">The Supplier shall ensure that vehicles are tested to the relevant </w:t>
      </w:r>
      <w:hyperlink r:id="rId9">
        <w:r>
          <w:rPr>
            <w:color w:val="1155CC"/>
            <w:u w:val="single"/>
          </w:rPr>
          <w:t>Type Approval Regulations</w:t>
        </w:r>
      </w:hyperlink>
      <w:r>
        <w:t xml:space="preserve">, in line with the Vehicle Certification Agency terms which can be accessed at </w:t>
      </w:r>
      <w:hyperlink r:id="rId10" w:history="1">
        <w:r>
          <w:rPr>
            <w:rStyle w:val="Hyperlink"/>
          </w:rPr>
          <w:t>http://www.dft.gov.uk/vca/</w:t>
        </w:r>
      </w:hyperlink>
      <w:r>
        <w:t xml:space="preserve"> and as the designated UK Approval Authority and Technical Service for type approval to all automotive European Community (EC) Directives and the equivalent United Nations Economic Community for Europe (ECE) Regulations.</w:t>
      </w:r>
    </w:p>
    <w:p w14:paraId="378F2EB0" w14:textId="77777777" w:rsidR="00C93F2B" w:rsidRDefault="00F01167">
      <w:pPr>
        <w:rPr>
          <w:color w:val="1155CC"/>
          <w:u w:val="single"/>
        </w:rPr>
      </w:pPr>
      <w:r>
        <w:t xml:space="preserve">The Supplier shall ensure that all vehicles are to be converted in accordance with </w:t>
      </w:r>
      <w:hyperlink r:id="rId11">
        <w:r>
          <w:rPr>
            <w:color w:val="1155CC"/>
            <w:u w:val="single"/>
          </w:rPr>
          <w:t>The Road Vehicles (Construction and Use) Regulations 1986</w:t>
        </w:r>
      </w:hyperlink>
      <w:r>
        <w:rPr>
          <w:color w:val="1155CC"/>
          <w:u w:val="single"/>
        </w:rPr>
        <w:t>.</w:t>
      </w:r>
    </w:p>
    <w:p w14:paraId="0AFEF879" w14:textId="77777777" w:rsidR="00C93F2B" w:rsidRDefault="00C93F2B">
      <w:pPr>
        <w:rPr>
          <w:color w:val="1155CC"/>
          <w:u w:val="single"/>
        </w:rPr>
      </w:pPr>
    </w:p>
    <w:p w14:paraId="728EE7F6" w14:textId="77777777" w:rsidR="00C93F2B" w:rsidRPr="008D445D" w:rsidRDefault="00F01167">
      <w:pPr>
        <w:rPr>
          <w:b/>
        </w:rPr>
      </w:pPr>
      <w:r w:rsidRPr="008D445D">
        <w:rPr>
          <w:b/>
        </w:rPr>
        <w:t>Environmental and Sustainability:</w:t>
      </w:r>
    </w:p>
    <w:p w14:paraId="6F65B66F" w14:textId="77777777" w:rsidR="00C93F2B" w:rsidRDefault="00F01167">
      <w:r>
        <w:t>The government is committed to environmental improvement through integrating environmental protection and sustainable development into its decision-making processes in respect of both the execution of its core functions and responsibilities and the management of day-to-day operations.</w:t>
      </w:r>
    </w:p>
    <w:p w14:paraId="2C14BA16" w14:textId="77777777" w:rsidR="00C93F2B" w:rsidRDefault="00F01167">
      <w:pPr>
        <w:spacing w:after="0" w:line="276" w:lineRule="auto"/>
        <w:rPr>
          <w:rFonts w:eastAsia="Arial"/>
          <w:color w:val="000000"/>
          <w:lang w:eastAsia="en-GB"/>
        </w:rPr>
      </w:pPr>
      <w:r>
        <w:rPr>
          <w:rFonts w:eastAsia="Arial"/>
          <w:color w:val="000000"/>
          <w:lang w:eastAsia="en-GB"/>
        </w:rPr>
        <w:lastRenderedPageBreak/>
        <w:t>The Supplier shall provide information on new or improved environmentally preferable products when they become commercially available and, promote their use under the DPS.</w:t>
      </w:r>
    </w:p>
    <w:p w14:paraId="323397EA" w14:textId="77777777" w:rsidR="00C93F2B" w:rsidRDefault="00C93F2B">
      <w:pPr>
        <w:spacing w:after="0" w:line="276" w:lineRule="auto"/>
        <w:rPr>
          <w:rFonts w:eastAsia="Arial"/>
          <w:color w:val="000000"/>
          <w:lang w:eastAsia="en-GB"/>
        </w:rPr>
      </w:pPr>
    </w:p>
    <w:p w14:paraId="0057AF26" w14:textId="77777777" w:rsidR="00C93F2B" w:rsidRDefault="00F01167">
      <w:r>
        <w:t>The Supplier shall work with the Authority and Contracting Authorities to identify opportunities to introduce innovation, reduce cost and waste and ensure sustainable development is at the heart of their operations.</w:t>
      </w:r>
    </w:p>
    <w:p w14:paraId="3EE6EEB1" w14:textId="77777777" w:rsidR="00C93F2B" w:rsidRDefault="00F01167">
      <w:r>
        <w:t>The Supplier shall ensure that they consider the relevance of sustainability at all lifecycle stages of the Services provided under this DPS. This includes not only consideration of commercial needs and minimisation of negative impacts but also the maximisation of positive impacts on society and the environment.</w:t>
      </w:r>
    </w:p>
    <w:p w14:paraId="3C5FC462" w14:textId="7B7E4154" w:rsidR="00C93F2B" w:rsidRDefault="00F01167">
      <w:pPr>
        <w:spacing w:after="0" w:line="276" w:lineRule="auto"/>
        <w:rPr>
          <w:rFonts w:eastAsia="Arial"/>
          <w:color w:val="000000"/>
          <w:lang w:eastAsia="en-GB"/>
        </w:rPr>
      </w:pPr>
      <w:r>
        <w:rPr>
          <w:rFonts w:eastAsia="Arial"/>
          <w:color w:val="000000"/>
          <w:lang w:eastAsia="en-GB"/>
        </w:rPr>
        <w:t xml:space="preserve">The Supplier shall comply with each of the following government standards </w:t>
      </w:r>
      <w:r w:rsidR="00017217">
        <w:rPr>
          <w:rFonts w:eastAsia="Arial"/>
          <w:color w:val="000000"/>
          <w:lang w:eastAsia="en-GB"/>
        </w:rPr>
        <w:t xml:space="preserve">(hyperlinked) </w:t>
      </w:r>
      <w:r>
        <w:rPr>
          <w:rFonts w:eastAsia="Arial"/>
          <w:color w:val="000000"/>
          <w:lang w:eastAsia="en-GB"/>
        </w:rPr>
        <w:t xml:space="preserve">for the duration of this DPS Agreement: </w:t>
      </w:r>
    </w:p>
    <w:p w14:paraId="40FDC1C9" w14:textId="77777777" w:rsidR="00C93F2B" w:rsidRDefault="00C93F2B">
      <w:pPr>
        <w:spacing w:after="0" w:line="276" w:lineRule="auto"/>
        <w:rPr>
          <w:rFonts w:eastAsia="Arial"/>
          <w:color w:val="000000"/>
          <w:lang w:eastAsia="en-GB"/>
        </w:rPr>
      </w:pPr>
    </w:p>
    <w:p w14:paraId="5255A0B8" w14:textId="77777777" w:rsidR="0059048D" w:rsidRDefault="0059048D" w:rsidP="0059048D">
      <w:pPr>
        <w:spacing w:after="0" w:line="276" w:lineRule="auto"/>
        <w:ind w:firstLine="720"/>
        <w:rPr>
          <w:rFonts w:eastAsia="Arial"/>
          <w:color w:val="000000"/>
          <w:lang w:eastAsia="en-GB"/>
        </w:rPr>
      </w:pPr>
      <w:bookmarkStart w:id="7" w:name="_tidz52ogxod2" w:colFirst="0" w:colLast="0"/>
      <w:bookmarkEnd w:id="7"/>
    </w:p>
    <w:p w14:paraId="3A2DB541" w14:textId="17B4B580" w:rsidR="00C93F2B" w:rsidRDefault="005E165F" w:rsidP="0059048D">
      <w:pPr>
        <w:spacing w:after="0" w:line="276" w:lineRule="auto"/>
        <w:ind w:firstLine="720"/>
        <w:rPr>
          <w:rFonts w:eastAsia="Arial"/>
          <w:color w:val="000000"/>
          <w:lang w:eastAsia="en-GB"/>
        </w:rPr>
      </w:pPr>
      <w:hyperlink r:id="rId12" w:history="1">
        <w:r w:rsidR="00017217" w:rsidRPr="00017217">
          <w:rPr>
            <w:rStyle w:val="Hyperlink"/>
            <w:rFonts w:eastAsia="Arial"/>
            <w:lang w:eastAsia="en-GB"/>
          </w:rPr>
          <w:t>Sustainable Development</w:t>
        </w:r>
      </w:hyperlink>
    </w:p>
    <w:p w14:paraId="2C43A9D4" w14:textId="77777777" w:rsidR="00017217" w:rsidRDefault="00017217" w:rsidP="0059048D">
      <w:pPr>
        <w:spacing w:after="0" w:line="276" w:lineRule="auto"/>
        <w:ind w:firstLine="720"/>
        <w:rPr>
          <w:rFonts w:eastAsia="Arial"/>
          <w:color w:val="000000"/>
          <w:lang w:eastAsia="en-GB"/>
        </w:rPr>
      </w:pPr>
    </w:p>
    <w:p w14:paraId="0BA7A3DE" w14:textId="0BC1813D" w:rsidR="00017217" w:rsidRPr="008D445D" w:rsidRDefault="005E165F" w:rsidP="008D445D">
      <w:pPr>
        <w:pStyle w:val="Heading1"/>
        <w:shd w:val="clear" w:color="auto" w:fill="FFFFFF"/>
        <w:spacing w:before="0"/>
        <w:ind w:left="720"/>
        <w:textAlignment w:val="baseline"/>
        <w:rPr>
          <w:rStyle w:val="Hyperlink"/>
          <w:rFonts w:eastAsia="Arial"/>
          <w:sz w:val="24"/>
          <w:szCs w:val="24"/>
          <w:lang w:eastAsia="en-GB"/>
        </w:rPr>
      </w:pPr>
      <w:hyperlink r:id="rId13" w:history="1">
        <w:bookmarkStart w:id="8" w:name="_Toc487639336"/>
        <w:r w:rsidR="00017217" w:rsidRPr="008D445D">
          <w:rPr>
            <w:rStyle w:val="Hyperlink"/>
            <w:rFonts w:eastAsia="Arial"/>
            <w:sz w:val="24"/>
            <w:szCs w:val="24"/>
            <w:lang w:eastAsia="en-GB"/>
          </w:rPr>
          <w:t>Directive on the promotion of clean and energy efficient road transport vehicles: guidelines</w:t>
        </w:r>
        <w:bookmarkEnd w:id="8"/>
      </w:hyperlink>
    </w:p>
    <w:p w14:paraId="45C53A5A" w14:textId="77777777" w:rsidR="00C93F2B" w:rsidRDefault="005E165F" w:rsidP="0059048D">
      <w:pPr>
        <w:spacing w:after="0" w:line="276" w:lineRule="auto"/>
        <w:ind w:firstLine="720"/>
        <w:rPr>
          <w:rFonts w:eastAsia="Arial"/>
          <w:color w:val="000000"/>
          <w:lang w:eastAsia="en-GB"/>
        </w:rPr>
      </w:pPr>
      <w:hyperlink w:history="1"/>
    </w:p>
    <w:p w14:paraId="08EEE13E" w14:textId="798233BE" w:rsidR="00C93F2B" w:rsidRDefault="005E165F" w:rsidP="008D445D">
      <w:pPr>
        <w:ind w:firstLine="720"/>
      </w:pPr>
      <w:hyperlink r:id="rId14" w:history="1">
        <w:r w:rsidR="00017217" w:rsidRPr="00017217">
          <w:rPr>
            <w:rStyle w:val="Hyperlink"/>
            <w:rFonts w:eastAsia="Arial"/>
            <w:lang w:eastAsia="en-GB"/>
          </w:rPr>
          <w:t>Government Buying Standards</w:t>
        </w:r>
      </w:hyperlink>
    </w:p>
    <w:p w14:paraId="4F43C437" w14:textId="1C084B47" w:rsidR="00C93F2B" w:rsidRDefault="00F01167">
      <w:r>
        <w:t>The Supplier shall ensure that all of the goods supplied under this DPS Agreement, including packaging, shall comply with the requirements of the Government Buying Standards (GBS) for Imaging Products, Energy Star Rating and Article 6 of the Energy Efficiency Directive (EED) Standards. Full details can be accessed via the following link:</w:t>
      </w:r>
    </w:p>
    <w:p w14:paraId="75CB50C3" w14:textId="77777777" w:rsidR="00C93F2B" w:rsidRDefault="005E165F">
      <w:pPr>
        <w:ind w:left="720"/>
      </w:pPr>
      <w:hyperlink r:id="rId15" w:history="1">
        <w:r w:rsidR="00F01167">
          <w:rPr>
            <w:rStyle w:val="Hyperlink"/>
          </w:rPr>
          <w:t>https://www.gov.uk/government/publications/sustainable-procurement-the-gbs-for-office-ict-equipment</w:t>
        </w:r>
      </w:hyperlink>
    </w:p>
    <w:p w14:paraId="13E6406E" w14:textId="053CA269" w:rsidR="00C93F2B" w:rsidRDefault="00F01167">
      <w:r>
        <w:t>The Supplier shall ensure that all Electric and Electronic Equipment (EEE) provided in association with the delivery of the goods and/ or services, is compliant with Restriction of Hazardous Substances (RoHs), Regulations and WEEE Regulations, where appropriate, including Producer Compliance Scheme registration. Full details can be accessed via the following links:</w:t>
      </w:r>
    </w:p>
    <w:p w14:paraId="03426B8B" w14:textId="77777777" w:rsidR="00C93F2B" w:rsidRDefault="005E165F">
      <w:pPr>
        <w:ind w:firstLine="720"/>
      </w:pPr>
      <w:hyperlink r:id="rId16" w:history="1">
        <w:r w:rsidR="00F01167">
          <w:rPr>
            <w:color w:val="0563C1" w:themeColor="hyperlink"/>
            <w:u w:val="single"/>
          </w:rPr>
          <w:t>https://www.gov.uk/guidance/rohs-compliance-and-guidance</w:t>
        </w:r>
      </w:hyperlink>
    </w:p>
    <w:p w14:paraId="5F86397F" w14:textId="022F51CB" w:rsidR="00C93F2B" w:rsidRDefault="005E165F" w:rsidP="008D445D">
      <w:pPr>
        <w:ind w:firstLine="720"/>
      </w:pPr>
      <w:hyperlink r:id="rId17" w:history="1">
        <w:r w:rsidR="00F01167">
          <w:rPr>
            <w:color w:val="0563C1" w:themeColor="hyperlink"/>
            <w:u w:val="single"/>
          </w:rPr>
          <w:t>http://www.hse.gov.uk/waste/waste-electrical.htm</w:t>
        </w:r>
      </w:hyperlink>
    </w:p>
    <w:p w14:paraId="3B58B53F" w14:textId="0FCA21F4" w:rsidR="00C93F2B" w:rsidRDefault="00F01167">
      <w:r>
        <w:t>The Supplier shall</w:t>
      </w:r>
      <w:r w:rsidR="0059048D">
        <w:t xml:space="preserve"> </w:t>
      </w:r>
      <w:r>
        <w:t>comply with and operate to the standard ISO 14001; Eco-Management and Audit Scheme (EMAS) or a nationally recognised equivalent accredited standard for the scope of the goods and/ or services, which is agreed with the Authority.</w:t>
      </w:r>
    </w:p>
    <w:p w14:paraId="552E123E" w14:textId="77777777" w:rsidR="00C93F2B" w:rsidRDefault="00F01167">
      <w:r>
        <w:lastRenderedPageBreak/>
        <w:t xml:space="preserve">The Supplier shall, where applicable, effectively manage the goods and/or services supplied under this DPS agreement, in order to minimise any impact on the environment.  </w:t>
      </w:r>
    </w:p>
    <w:p w14:paraId="637EC4FD" w14:textId="588556EB" w:rsidR="00C93F2B" w:rsidRDefault="00F01167">
      <w:r>
        <w:t>The Supplier shall, where applicable, work proactively with Contracting Authorities in relation to the provision of Goods and Services, which includes but is not limited to, the following areas:</w:t>
      </w:r>
    </w:p>
    <w:p w14:paraId="11581067" w14:textId="77777777" w:rsidR="00C93F2B" w:rsidRDefault="00F01167">
      <w:pPr>
        <w:pStyle w:val="ListParagraph"/>
        <w:numPr>
          <w:ilvl w:val="0"/>
          <w:numId w:val="60"/>
        </w:numPr>
        <w:spacing w:after="120"/>
      </w:pPr>
      <w:r>
        <w:t>noise reduction;</w:t>
      </w:r>
    </w:p>
    <w:p w14:paraId="7A7A07DF" w14:textId="77777777" w:rsidR="00C93F2B" w:rsidRDefault="00F01167">
      <w:pPr>
        <w:pStyle w:val="ListParagraph"/>
        <w:numPr>
          <w:ilvl w:val="0"/>
          <w:numId w:val="60"/>
        </w:numPr>
        <w:spacing w:after="120"/>
      </w:pPr>
      <w:r>
        <w:t>removal of unwanted consumables;</w:t>
      </w:r>
    </w:p>
    <w:p w14:paraId="56C62536" w14:textId="0E6467F1" w:rsidR="00C93F2B" w:rsidRDefault="00F01167" w:rsidP="008D445D">
      <w:pPr>
        <w:pStyle w:val="ListParagraph"/>
        <w:numPr>
          <w:ilvl w:val="0"/>
          <w:numId w:val="60"/>
        </w:numPr>
        <w:spacing w:after="120"/>
      </w:pPr>
      <w:r>
        <w:t>heat production reduction in confined spaces.</w:t>
      </w:r>
    </w:p>
    <w:p w14:paraId="0A8E5A98" w14:textId="592D53B3" w:rsidR="00C93F2B" w:rsidRDefault="00F01167">
      <w:r>
        <w:t>The Supplier shall</w:t>
      </w:r>
      <w:r w:rsidR="0059048D">
        <w:t xml:space="preserve"> </w:t>
      </w:r>
      <w:r>
        <w:t xml:space="preserve">be responsible for the collection and disposal of all packaging, materials and redundant or replacement spare parts in accordance with WEEE Regulations which can be accessed via the following link: </w:t>
      </w:r>
    </w:p>
    <w:p w14:paraId="123621C2" w14:textId="77777777" w:rsidR="00C93F2B" w:rsidRDefault="005E165F">
      <w:pPr>
        <w:jc w:val="center"/>
      </w:pPr>
      <w:hyperlink r:id="rId18" w:history="1">
        <w:r w:rsidR="00F01167">
          <w:rPr>
            <w:color w:val="0563C1" w:themeColor="hyperlink"/>
            <w:u w:val="single"/>
          </w:rPr>
          <w:t>http://www.legislation.gov.uk/uksi/2013/3113/contents/made</w:t>
        </w:r>
      </w:hyperlink>
    </w:p>
    <w:p w14:paraId="41B9CD38" w14:textId="77777777" w:rsidR="00C93F2B" w:rsidRDefault="00F01167">
      <w:r>
        <w:t xml:space="preserve">The Supplier shall, where applicable, take steps to encourage the reuse of any WEEE generated in the delivery of services as promoted by the WEEE Directive. </w:t>
      </w:r>
    </w:p>
    <w:p w14:paraId="1002AA99" w14:textId="26BE0D69" w:rsidR="00C93F2B" w:rsidRDefault="00F01167">
      <w:r>
        <w:t>The Supplier shall</w:t>
      </w:r>
      <w:r w:rsidR="0059048D">
        <w:t xml:space="preserve"> </w:t>
      </w:r>
      <w:r>
        <w:t>demonstrate their full re-use or recycling streams upon request from Contracting Authorities.</w:t>
      </w:r>
    </w:p>
    <w:p w14:paraId="51576D79" w14:textId="77777777" w:rsidR="00C93F2B" w:rsidRDefault="00F01167">
      <w:r>
        <w:t>The Supplier shall, where applicable, provide containers to Contracting Authorities which are suitable for the accumulation of used Consumables and redundant parts, such as tyres and light bars.</w:t>
      </w:r>
    </w:p>
    <w:p w14:paraId="1C3C273D" w14:textId="243094B4" w:rsidR="00C93F2B" w:rsidRDefault="00F01167">
      <w:r>
        <w:t>The Supplier shall arrange collection and replacement of the containers within timescales agreed with Contracting Authorities at contract award stage. Additionally, this shall be provided at no additional cost to Contracting Authorities.</w:t>
      </w:r>
    </w:p>
    <w:p w14:paraId="4ABA01E3" w14:textId="77777777" w:rsidR="00C93F2B" w:rsidRDefault="00F01167">
      <w:r>
        <w:t>The Supplier shall complete annual Corporate Social Responsibility (CSR) assessments upon request from Contracting Authorities.</w:t>
      </w:r>
    </w:p>
    <w:p w14:paraId="50C883C4" w14:textId="76C579DB" w:rsidR="00D87027" w:rsidRDefault="00F01167">
      <w:r>
        <w:t xml:space="preserve">The Supplier shall identify </w:t>
      </w:r>
      <w:hyperlink r:id="rId19" w:history="1">
        <w:r>
          <w:rPr>
            <w:rStyle w:val="Hyperlink"/>
          </w:rPr>
          <w:t>Social Value</w:t>
        </w:r>
      </w:hyperlink>
      <w:r>
        <w:t xml:space="preserve"> options which are appropriate to Contracting Authorities at contract award.  Any Social Value options selected by Contracting Authorities at the point of contract award, shall be in accordance with the Government’s Social Values which are current at that point in time.</w:t>
      </w:r>
    </w:p>
    <w:p w14:paraId="0E7BDC0A" w14:textId="77777777" w:rsidR="0059048D" w:rsidRDefault="0059048D">
      <w:pPr>
        <w:rPr>
          <w:b/>
        </w:rPr>
      </w:pPr>
    </w:p>
    <w:p w14:paraId="4D3C7EC1" w14:textId="77777777" w:rsidR="00C93F2B" w:rsidRPr="008D445D" w:rsidRDefault="00F01167">
      <w:pPr>
        <w:rPr>
          <w:b/>
        </w:rPr>
      </w:pPr>
      <w:r w:rsidRPr="008D445D">
        <w:rPr>
          <w:b/>
        </w:rPr>
        <w:t>Health and Safety:</w:t>
      </w:r>
    </w:p>
    <w:p w14:paraId="24D7A116" w14:textId="77777777" w:rsidR="00C93F2B" w:rsidRDefault="00F01167">
      <w:pPr>
        <w:spacing w:after="0" w:line="276" w:lineRule="auto"/>
        <w:rPr>
          <w:rFonts w:eastAsia="Arial"/>
          <w:color w:val="000000"/>
          <w:lang w:eastAsia="en-GB"/>
        </w:rPr>
      </w:pPr>
      <w:r>
        <w:rPr>
          <w:rFonts w:eastAsia="Arial"/>
          <w:color w:val="000000"/>
          <w:lang w:eastAsia="en-GB"/>
        </w:rPr>
        <w:t xml:space="preserve">The Supplier shall meet all of the relevant health and safety legislation in accordance with the </w:t>
      </w:r>
      <w:hyperlink r:id="rId20" w:history="1">
        <w:r>
          <w:rPr>
            <w:rStyle w:val="Hyperlink"/>
          </w:rPr>
          <w:t>Health and Safety at Work etc. Act 1974</w:t>
        </w:r>
      </w:hyperlink>
      <w:r>
        <w:rPr>
          <w:rFonts w:eastAsia="Arial"/>
          <w:color w:val="000000"/>
          <w:lang w:eastAsia="en-GB"/>
        </w:rPr>
        <w:t xml:space="preserve"> in discharging their duties under this DPS Agreement.</w:t>
      </w:r>
    </w:p>
    <w:p w14:paraId="7F4B7CD7" w14:textId="77777777" w:rsidR="00C93F2B" w:rsidRDefault="00C93F2B">
      <w:pPr>
        <w:spacing w:after="0" w:line="276" w:lineRule="auto"/>
        <w:rPr>
          <w:rFonts w:eastAsia="Arial"/>
          <w:color w:val="000000"/>
          <w:lang w:eastAsia="en-GB"/>
        </w:rPr>
      </w:pPr>
    </w:p>
    <w:p w14:paraId="0E01389F" w14:textId="77777777" w:rsidR="00C93F2B" w:rsidRDefault="00F01167">
      <w:pPr>
        <w:spacing w:after="0" w:line="276" w:lineRule="auto"/>
        <w:rPr>
          <w:rFonts w:eastAsia="Arial"/>
          <w:color w:val="000000"/>
          <w:lang w:eastAsia="en-GB"/>
        </w:rPr>
      </w:pPr>
      <w:r>
        <w:rPr>
          <w:rFonts w:eastAsia="Arial"/>
          <w:color w:val="000000"/>
          <w:lang w:eastAsia="en-GB"/>
        </w:rPr>
        <w:t>The Supplier shall ensure all of the staff concerned with the Authority’s and Contracting Authorities requirements are suitably trained and comply with all relevant health and safety legislation throughout the duration of the DPS Agreement and any contract awarded.</w:t>
      </w:r>
    </w:p>
    <w:p w14:paraId="15FC36FC" w14:textId="10E0B6CE" w:rsidR="0059048D" w:rsidRPr="008D445D" w:rsidRDefault="00F01167" w:rsidP="008D445D">
      <w:pPr>
        <w:rPr>
          <w:b/>
        </w:rPr>
      </w:pPr>
      <w:r w:rsidRPr="008D445D">
        <w:rPr>
          <w:b/>
        </w:rPr>
        <w:lastRenderedPageBreak/>
        <w:t>Security:</w:t>
      </w:r>
    </w:p>
    <w:p w14:paraId="21995C39" w14:textId="17D1B436" w:rsidR="00D87027" w:rsidRDefault="00F01167" w:rsidP="0059048D">
      <w:pPr>
        <w:spacing w:after="0" w:line="276" w:lineRule="auto"/>
        <w:rPr>
          <w:b/>
        </w:rPr>
      </w:pPr>
      <w:r w:rsidRPr="008D445D">
        <w:t>Suppliers shall be required to have their own security operating procedures that shall be made available to the Authority and/or Contracting Authorities to provide assurance of data security.</w:t>
      </w:r>
    </w:p>
    <w:p w14:paraId="51B35939" w14:textId="77777777" w:rsidR="00D87027" w:rsidRPr="008D445D" w:rsidRDefault="00D87027" w:rsidP="0059048D">
      <w:pPr>
        <w:spacing w:after="0" w:line="276" w:lineRule="auto"/>
        <w:rPr>
          <w:rFonts w:eastAsia="Arial"/>
          <w:color w:val="000000"/>
          <w:lang w:eastAsia="en-GB"/>
        </w:rPr>
      </w:pPr>
    </w:p>
    <w:p w14:paraId="1C371B3E" w14:textId="62FB3802" w:rsidR="0059048D" w:rsidRDefault="00F01167" w:rsidP="0059048D">
      <w:pPr>
        <w:spacing w:after="0" w:line="276" w:lineRule="auto"/>
        <w:rPr>
          <w:rFonts w:eastAsia="Arial"/>
          <w:color w:val="000000"/>
          <w:lang w:eastAsia="en-GB"/>
        </w:rPr>
      </w:pPr>
      <w:r>
        <w:rPr>
          <w:rFonts w:eastAsia="Arial"/>
          <w:color w:val="000000"/>
          <w:lang w:eastAsia="en-GB"/>
        </w:rPr>
        <w:t>The Supplier shall ensure that Contracting Authorities</w:t>
      </w:r>
      <w:r w:rsidR="00017217">
        <w:rPr>
          <w:rFonts w:eastAsia="Arial"/>
          <w:color w:val="000000"/>
          <w:lang w:eastAsia="en-GB"/>
        </w:rPr>
        <w:t>’</w:t>
      </w:r>
      <w:r>
        <w:rPr>
          <w:rFonts w:eastAsia="Arial"/>
          <w:color w:val="000000"/>
          <w:lang w:eastAsia="en-GB"/>
        </w:rPr>
        <w:t xml:space="preserve"> information and data (electronic and physical) shall be collected, held and maintained in a secure and confidential manner and in accordance with the Terms of the DPS Agreement any individual contracts awarded.  </w:t>
      </w:r>
    </w:p>
    <w:p w14:paraId="11640693" w14:textId="77777777" w:rsidR="00C93F2B" w:rsidRDefault="00C93F2B" w:rsidP="0059048D">
      <w:pPr>
        <w:spacing w:after="0" w:line="276" w:lineRule="auto"/>
        <w:rPr>
          <w:rFonts w:eastAsia="Arial"/>
          <w:color w:val="000000"/>
          <w:lang w:eastAsia="en-GB"/>
        </w:rPr>
      </w:pPr>
    </w:p>
    <w:p w14:paraId="455CE2E2" w14:textId="77777777" w:rsidR="00C93F2B" w:rsidRDefault="00F01167" w:rsidP="0059048D">
      <w:pPr>
        <w:spacing w:after="0" w:line="276" w:lineRule="auto"/>
        <w:rPr>
          <w:rFonts w:eastAsia="Arial"/>
          <w:color w:val="000000"/>
          <w:lang w:eastAsia="en-GB"/>
        </w:rPr>
      </w:pPr>
      <w:r>
        <w:rPr>
          <w:rFonts w:eastAsia="Arial"/>
          <w:color w:val="000000"/>
          <w:lang w:eastAsia="en-GB"/>
        </w:rPr>
        <w:t xml:space="preserve">The Supplier shall ensure that all Supplier Personnel involved in the performance of any individual contracts awarded under this DPS Agreement shall comply with all data security and confidentiality requirements. </w:t>
      </w:r>
    </w:p>
    <w:p w14:paraId="12936B49" w14:textId="77777777" w:rsidR="00C93F2B" w:rsidRDefault="00F01167">
      <w:pPr>
        <w:spacing w:after="0" w:line="276" w:lineRule="auto"/>
        <w:rPr>
          <w:rFonts w:eastAsia="Arial"/>
          <w:color w:val="000000"/>
          <w:lang w:eastAsia="en-GB"/>
        </w:rPr>
      </w:pPr>
      <w:r>
        <w:rPr>
          <w:rFonts w:eastAsia="Arial"/>
          <w:color w:val="000000"/>
          <w:lang w:eastAsia="en-GB"/>
        </w:rPr>
        <w:t xml:space="preserve">The Supplier shall ensure appropriate security standard, controls and measures in place such as access to premises.  </w:t>
      </w:r>
    </w:p>
    <w:p w14:paraId="3C877FC6" w14:textId="77777777" w:rsidR="00C93F2B" w:rsidRDefault="00C93F2B">
      <w:pPr>
        <w:spacing w:after="0" w:line="276" w:lineRule="auto"/>
        <w:rPr>
          <w:rFonts w:eastAsia="Arial"/>
          <w:color w:val="000000"/>
          <w:lang w:eastAsia="en-GB"/>
        </w:rPr>
      </w:pPr>
    </w:p>
    <w:p w14:paraId="353DA7DF" w14:textId="77777777" w:rsidR="00C93F2B" w:rsidRDefault="00F01167">
      <w:pPr>
        <w:spacing w:after="0" w:line="276" w:lineRule="auto"/>
        <w:rPr>
          <w:rFonts w:eastAsia="Arial"/>
          <w:color w:val="000000"/>
          <w:lang w:eastAsia="en-GB"/>
        </w:rPr>
      </w:pPr>
      <w:r>
        <w:rPr>
          <w:rFonts w:eastAsia="Arial"/>
          <w:color w:val="000000"/>
          <w:lang w:eastAsia="en-GB"/>
        </w:rPr>
        <w:t>The Supplier shall provide secure premises for all individual contracts awarded under the DPS Agreement which meet Contacting Authorities individual security protocols.</w:t>
      </w:r>
    </w:p>
    <w:p w14:paraId="195DE0CB" w14:textId="77777777" w:rsidR="00C93F2B" w:rsidRDefault="00C93F2B">
      <w:pPr>
        <w:spacing w:after="0" w:line="276" w:lineRule="auto"/>
        <w:rPr>
          <w:rFonts w:eastAsia="Arial"/>
          <w:color w:val="000000"/>
          <w:lang w:eastAsia="en-GB"/>
        </w:rPr>
      </w:pPr>
    </w:p>
    <w:p w14:paraId="418589DD" w14:textId="77777777" w:rsidR="00C93F2B" w:rsidRDefault="00F01167">
      <w:r>
        <w:t xml:space="preserve">The Supplier shall ensure that any suspected or actual security breaches are reported to the Contracting Authorities’ representative immediately. </w:t>
      </w:r>
    </w:p>
    <w:p w14:paraId="3B06AD04" w14:textId="5C7477B5" w:rsidR="00C93F2B" w:rsidRDefault="00F01167">
      <w:pPr>
        <w:spacing w:after="0" w:line="276" w:lineRule="auto"/>
        <w:rPr>
          <w:rFonts w:eastAsia="Arial"/>
          <w:color w:val="000000"/>
          <w:lang w:eastAsia="en-GB"/>
        </w:rPr>
      </w:pPr>
      <w:r>
        <w:t xml:space="preserve">The Supplier shall provide details of their </w:t>
      </w:r>
      <w:r w:rsidR="00BF3233">
        <w:t>p</w:t>
      </w:r>
      <w:r>
        <w:t xml:space="preserve">ersonnel security procedures and upon request by Contracting Authorities, details of all </w:t>
      </w:r>
      <w:r w:rsidR="00D87027">
        <w:t>p</w:t>
      </w:r>
      <w:r>
        <w:t>ersonnel that they intend to use in the delivery of the Goods and Services.</w:t>
      </w:r>
      <w:r>
        <w:rPr>
          <w:rFonts w:eastAsia="Arial"/>
          <w:color w:val="000000"/>
          <w:lang w:eastAsia="en-GB"/>
        </w:rPr>
        <w:t xml:space="preserve"> </w:t>
      </w:r>
    </w:p>
    <w:p w14:paraId="2DB7B0FF" w14:textId="77777777" w:rsidR="00DB0BC9" w:rsidRDefault="00DB0BC9">
      <w:pPr>
        <w:spacing w:after="0" w:line="276" w:lineRule="auto"/>
        <w:rPr>
          <w:rFonts w:eastAsia="Arial"/>
          <w:color w:val="000000"/>
          <w:lang w:eastAsia="en-GB"/>
        </w:rPr>
      </w:pPr>
    </w:p>
    <w:p w14:paraId="395A7DA5" w14:textId="6679957C" w:rsidR="00DB0BC9" w:rsidRPr="008D445D" w:rsidRDefault="00DB0BC9">
      <w:pPr>
        <w:spacing w:after="0" w:line="276" w:lineRule="auto"/>
        <w:rPr>
          <w:rFonts w:eastAsia="Arial"/>
          <w:lang w:eastAsia="en-GB"/>
        </w:rPr>
      </w:pPr>
      <w:r w:rsidRPr="008D445D">
        <w:rPr>
          <w:rFonts w:eastAsia="Arial"/>
          <w:lang w:eastAsia="en-GB"/>
        </w:rPr>
        <w:t>The Supplier shall ensure that Contracting Authorities information and data is secured in a manner that complies with the Government Security Classification Policy rating. The Supplier shall ensure that the Government Security Classification</w:t>
      </w:r>
    </w:p>
    <w:p w14:paraId="7B0DE340" w14:textId="7424C218" w:rsidR="00DB0BC9" w:rsidRPr="008D445D" w:rsidRDefault="00DB0BC9" w:rsidP="00DB0BC9">
      <w:pPr>
        <w:spacing w:after="0" w:line="276" w:lineRule="auto"/>
        <w:rPr>
          <w:rFonts w:eastAsia="Arial"/>
          <w:lang w:eastAsia="en-GB"/>
        </w:rPr>
      </w:pPr>
      <w:r w:rsidRPr="008D445D">
        <w:rPr>
          <w:rFonts w:eastAsia="Arial"/>
          <w:lang w:eastAsia="en-GB"/>
        </w:rPr>
        <w:t>Policy rating is also applied when information and data is transmitted across all applicable networks and/or in line with the Contracting Authorities’ requirements.</w:t>
      </w:r>
    </w:p>
    <w:p w14:paraId="6168ACE2" w14:textId="77777777" w:rsidR="00DB0BC9" w:rsidRPr="008D445D" w:rsidRDefault="00DB0BC9">
      <w:pPr>
        <w:spacing w:after="0" w:line="276" w:lineRule="auto"/>
        <w:rPr>
          <w:rFonts w:eastAsia="Arial"/>
          <w:lang w:eastAsia="en-GB"/>
        </w:rPr>
      </w:pPr>
    </w:p>
    <w:p w14:paraId="457CBC82" w14:textId="431C8634" w:rsidR="00C93F2B" w:rsidRPr="008D445D" w:rsidRDefault="00813514">
      <w:pPr>
        <w:spacing w:after="0" w:line="276" w:lineRule="auto"/>
        <w:rPr>
          <w:rFonts w:eastAsia="Arial"/>
          <w:lang w:eastAsia="en-GB"/>
        </w:rPr>
      </w:pPr>
      <w:r w:rsidRPr="008D445D">
        <w:rPr>
          <w:rFonts w:eastAsia="Arial"/>
          <w:lang w:eastAsia="en-GB"/>
        </w:rPr>
        <w:t>For further information, t</w:t>
      </w:r>
      <w:r w:rsidR="00F01167" w:rsidRPr="008D445D">
        <w:rPr>
          <w:rFonts w:eastAsia="Arial"/>
          <w:lang w:eastAsia="en-GB"/>
        </w:rPr>
        <w:t xml:space="preserve">he Government Security Classification 2014 may be accessed here: </w:t>
      </w:r>
    </w:p>
    <w:p w14:paraId="3BB7ACA8" w14:textId="2A06C002" w:rsidR="00DB0BC9" w:rsidRDefault="005E165F">
      <w:pPr>
        <w:rPr>
          <w:color w:val="2E74B5" w:themeColor="accent1" w:themeShade="BF"/>
        </w:rPr>
      </w:pPr>
      <w:hyperlink r:id="rId21" w:history="1">
        <w:r w:rsidR="00DB0BC9" w:rsidRPr="008D445D">
          <w:rPr>
            <w:rStyle w:val="Hyperlink"/>
            <w:color w:val="2E74B5" w:themeColor="accent1" w:themeShade="BF"/>
          </w:rPr>
          <w:t>https://www.gov.uk/government/publications/government-security-classifications</w:t>
        </w:r>
      </w:hyperlink>
    </w:p>
    <w:p w14:paraId="49879B95" w14:textId="77777777" w:rsidR="00D87027" w:rsidRPr="008D445D" w:rsidRDefault="00D87027">
      <w:pPr>
        <w:rPr>
          <w:color w:val="2E74B5" w:themeColor="accent1" w:themeShade="BF"/>
        </w:rPr>
      </w:pPr>
    </w:p>
    <w:p w14:paraId="29D7B57E" w14:textId="77777777" w:rsidR="00C93F2B" w:rsidRPr="008D445D" w:rsidRDefault="00F01167">
      <w:pPr>
        <w:rPr>
          <w:b/>
        </w:rPr>
      </w:pPr>
      <w:r w:rsidRPr="008D445D">
        <w:rPr>
          <w:b/>
        </w:rPr>
        <w:t>Vetting:</w:t>
      </w:r>
    </w:p>
    <w:p w14:paraId="535A5ABE" w14:textId="3AC133B6" w:rsidR="00C93F2B" w:rsidRDefault="00F01167">
      <w:r>
        <w:t xml:space="preserve">The Supplier shall ensure that all Supplier Personnel vetting procedures, under the DPS Agreement and individual </w:t>
      </w:r>
      <w:r w:rsidR="00017217">
        <w:t>C</w:t>
      </w:r>
      <w:r>
        <w:t>ontracts entered into under it by Contracting Authorities and Suppliers, comply with the British Standard, Security Screening of Individuals Employed in a Security Environment – BS 7858:2012 or agreed equivalent, unless otherwise specified by Contracting Authorities.</w:t>
      </w:r>
    </w:p>
    <w:p w14:paraId="2B1394A0" w14:textId="20E9A802" w:rsidR="0059048D" w:rsidRDefault="00F01167">
      <w:r>
        <w:lastRenderedPageBreak/>
        <w:t>The Supplier shall where applicable provide details of its Supplier Personnel security procedures to Contracting Authorities and contact details of all Personnel who will be involved in the delivery of the Services, when requested by Contracting Authorities.</w:t>
      </w:r>
    </w:p>
    <w:p w14:paraId="5C3BE4AC" w14:textId="77777777" w:rsidR="00D87027" w:rsidRDefault="00D87027"/>
    <w:p w14:paraId="66F5B704" w14:textId="77777777" w:rsidR="00C93F2B" w:rsidRPr="008D445D" w:rsidRDefault="00F01167" w:rsidP="008D445D">
      <w:pPr>
        <w:pStyle w:val="Heading2"/>
        <w:spacing w:before="120" w:after="120"/>
        <w:ind w:left="431" w:hanging="431"/>
        <w:rPr>
          <w:b/>
          <w:color w:val="auto"/>
        </w:rPr>
      </w:pPr>
      <w:bookmarkStart w:id="9" w:name="_Toc487639337"/>
      <w:r w:rsidRPr="008D445D">
        <w:rPr>
          <w:b/>
          <w:color w:val="auto"/>
        </w:rPr>
        <w:t>Desirable Requirements</w:t>
      </w:r>
      <w:bookmarkEnd w:id="9"/>
    </w:p>
    <w:p w14:paraId="7B7AF316" w14:textId="77777777" w:rsidR="00C93F2B" w:rsidRDefault="00F01167">
      <w:r w:rsidRPr="008D445D">
        <w:rPr>
          <w:b/>
        </w:rPr>
        <w:t>Standalone design and consultancy</w:t>
      </w:r>
      <w:r>
        <w:t>:</w:t>
      </w:r>
    </w:p>
    <w:p w14:paraId="5DD67DE9" w14:textId="62A840C6" w:rsidR="00C93F2B" w:rsidRDefault="00F01167">
      <w:pPr>
        <w:spacing w:after="120"/>
      </w:pPr>
      <w:r>
        <w:t xml:space="preserve">The Supplier shall offer standalone design and consultancy services to Contracting Authorities in order to provide, guidance and/or assist in the development vehicle conversion solution(s). </w:t>
      </w:r>
    </w:p>
    <w:p w14:paraId="17EAC0EE" w14:textId="77777777" w:rsidR="00D87027" w:rsidRDefault="00D87027">
      <w:pPr>
        <w:spacing w:after="120"/>
      </w:pPr>
    </w:p>
    <w:p w14:paraId="08A947C9" w14:textId="77777777" w:rsidR="00C93F2B" w:rsidRPr="008D445D" w:rsidRDefault="00F01167">
      <w:pPr>
        <w:spacing w:after="120"/>
        <w:rPr>
          <w:b/>
        </w:rPr>
      </w:pPr>
      <w:r w:rsidRPr="008D445D">
        <w:rPr>
          <w:b/>
        </w:rPr>
        <w:t>Warranty and aftersales:</w:t>
      </w:r>
    </w:p>
    <w:p w14:paraId="6133B253" w14:textId="77777777" w:rsidR="00C93F2B" w:rsidRDefault="00F01167">
      <w:pPr>
        <w:tabs>
          <w:tab w:val="left" w:pos="720"/>
        </w:tabs>
        <w:suppressAutoHyphens/>
        <w:overflowPunct w:val="0"/>
        <w:autoSpaceDE w:val="0"/>
        <w:autoSpaceDN w:val="0"/>
        <w:adjustRightInd w:val="0"/>
        <w:spacing w:after="240" w:line="240" w:lineRule="auto"/>
        <w:jc w:val="both"/>
        <w:textAlignment w:val="baseline"/>
        <w:rPr>
          <w:rFonts w:eastAsia="Times New Roman"/>
          <w:lang w:val="en-US"/>
        </w:rPr>
      </w:pPr>
      <w:r>
        <w:rPr>
          <w:rFonts w:eastAsia="Times New Roman"/>
          <w:lang w:val="en-US"/>
        </w:rPr>
        <w:t>The Supplier shall ensure that any vehicle modification work(s) shall be covered by a warranty for a minimum of 12 months.</w:t>
      </w:r>
    </w:p>
    <w:p w14:paraId="2E1D02F2" w14:textId="6BC9E60F" w:rsidR="00D87027" w:rsidRDefault="00F01167" w:rsidP="008D445D">
      <w:pPr>
        <w:tabs>
          <w:tab w:val="left" w:pos="709"/>
          <w:tab w:val="left" w:pos="851"/>
        </w:tabs>
        <w:suppressAutoHyphens/>
        <w:overflowPunct w:val="0"/>
        <w:autoSpaceDE w:val="0"/>
        <w:autoSpaceDN w:val="0"/>
        <w:adjustRightInd w:val="0"/>
        <w:spacing w:after="240" w:line="240" w:lineRule="auto"/>
        <w:textAlignment w:val="baseline"/>
        <w:rPr>
          <w:rFonts w:eastAsia="Times New Roman"/>
        </w:rPr>
      </w:pPr>
      <w:r>
        <w:rPr>
          <w:rFonts w:eastAsia="Times New Roman"/>
        </w:rPr>
        <w:t>The Supplier shall, where applicable, provide a manufacturer’s warranty that warrants the vehicle/chassis supplied to Contracting Authorities as free from defects for a minimum period of three years from the date of delivery.</w:t>
      </w:r>
    </w:p>
    <w:p w14:paraId="7FD9F631" w14:textId="77777777" w:rsidR="00C93F2B" w:rsidRDefault="00C93F2B" w:rsidP="008D445D">
      <w:pPr>
        <w:tabs>
          <w:tab w:val="left" w:pos="709"/>
          <w:tab w:val="left" w:pos="851"/>
        </w:tabs>
        <w:suppressAutoHyphens/>
        <w:overflowPunct w:val="0"/>
        <w:autoSpaceDE w:val="0"/>
        <w:autoSpaceDN w:val="0"/>
        <w:adjustRightInd w:val="0"/>
        <w:spacing w:after="240" w:line="240" w:lineRule="auto"/>
        <w:textAlignment w:val="baseline"/>
      </w:pPr>
    </w:p>
    <w:p w14:paraId="67C69F73" w14:textId="77777777" w:rsidR="00C93F2B" w:rsidRPr="008D445D" w:rsidRDefault="00F01167">
      <w:pPr>
        <w:spacing w:after="120"/>
        <w:rPr>
          <w:b/>
        </w:rPr>
      </w:pPr>
      <w:r w:rsidRPr="008D445D">
        <w:rPr>
          <w:b/>
        </w:rPr>
        <w:t>Training and guidance:</w:t>
      </w:r>
    </w:p>
    <w:p w14:paraId="5111C642" w14:textId="3B8BD080" w:rsidR="00D87027" w:rsidRDefault="00F01167">
      <w:pPr>
        <w:spacing w:after="120"/>
      </w:pPr>
      <w:r>
        <w:t xml:space="preserve">The Supplier shall provide vehicle user training and guidance to Contracting Authorities where required in relation to the conversion services being carried out. </w:t>
      </w:r>
    </w:p>
    <w:p w14:paraId="6A82EA33" w14:textId="77777777" w:rsidR="00D87027" w:rsidRPr="008D445D" w:rsidRDefault="00D87027">
      <w:pPr>
        <w:spacing w:after="120"/>
        <w:rPr>
          <w:b/>
        </w:rPr>
      </w:pPr>
    </w:p>
    <w:p w14:paraId="25E5185F" w14:textId="77777777" w:rsidR="00C93F2B" w:rsidRPr="008D445D" w:rsidRDefault="00F01167">
      <w:pPr>
        <w:spacing w:after="120"/>
        <w:rPr>
          <w:b/>
        </w:rPr>
      </w:pPr>
      <w:r w:rsidRPr="008D445D">
        <w:rPr>
          <w:b/>
        </w:rPr>
        <w:t>Electrical and Communication Equipment Installation:</w:t>
      </w:r>
    </w:p>
    <w:p w14:paraId="60E4B2DA" w14:textId="77777777" w:rsidR="00C93F2B" w:rsidRDefault="00F01167" w:rsidP="008D445D">
      <w:pPr>
        <w:spacing w:after="120"/>
      </w:pPr>
      <w:r>
        <w:t xml:space="preserve">The Supplier shall ensure that any installation of electrical, radio communication equipment, or modification to the vehicle, shall be in compliance with the recommendations of </w:t>
      </w:r>
      <w:hyperlink r:id="rId22" w:history="1">
        <w:r>
          <w:rPr>
            <w:rStyle w:val="Hyperlink"/>
          </w:rPr>
          <w:t>FCS1362:2016</w:t>
        </w:r>
      </w:hyperlink>
    </w:p>
    <w:p w14:paraId="40AE33D4" w14:textId="77777777" w:rsidR="00C93F2B" w:rsidRDefault="00C93F2B"/>
    <w:p w14:paraId="760735A9" w14:textId="77777777" w:rsidR="00AC0399" w:rsidRDefault="00AC0399"/>
    <w:p w14:paraId="0DA298F2" w14:textId="77777777" w:rsidR="00AC0399" w:rsidRDefault="00AC0399"/>
    <w:p w14:paraId="31D23BD4" w14:textId="77777777" w:rsidR="00AC0399" w:rsidRDefault="00AC0399"/>
    <w:p w14:paraId="694E0B88" w14:textId="77777777" w:rsidR="00AC0399" w:rsidRDefault="00AC0399"/>
    <w:p w14:paraId="721D403D" w14:textId="77777777" w:rsidR="00AC0399" w:rsidRDefault="00AC0399"/>
    <w:p w14:paraId="0920E582" w14:textId="77777777" w:rsidR="001E0052" w:rsidRDefault="001E0052"/>
    <w:p w14:paraId="6A224C84" w14:textId="77777777" w:rsidR="00AC0399" w:rsidRDefault="00AC0399"/>
    <w:p w14:paraId="71A0FCF2" w14:textId="77777777" w:rsidR="00BD0C97" w:rsidRDefault="00BD0C97"/>
    <w:p w14:paraId="407D93E3" w14:textId="77777777" w:rsidR="001E0052" w:rsidRDefault="001E0052"/>
    <w:p w14:paraId="40DE5C23" w14:textId="77777777" w:rsidR="00C93F2B" w:rsidRDefault="00F01167">
      <w:pPr>
        <w:jc w:val="center"/>
        <w:rPr>
          <w:b/>
        </w:rPr>
      </w:pPr>
      <w:r>
        <w:rPr>
          <w:b/>
        </w:rPr>
        <w:lastRenderedPageBreak/>
        <w:t>ANNEX A – Vehicle Conversion Services Matrix</w:t>
      </w:r>
    </w:p>
    <w:p w14:paraId="2D81920B" w14:textId="77777777" w:rsidR="00C93F2B" w:rsidRDefault="00F01167">
      <w:pPr>
        <w:spacing w:after="0" w:line="240" w:lineRule="auto"/>
        <w:ind w:hanging="10"/>
        <w:jc w:val="both"/>
        <w:rPr>
          <w:rFonts w:eastAsia="Times New Roman"/>
          <w:b/>
          <w:bCs/>
          <w:color w:val="000000"/>
          <w:lang w:eastAsia="en-GB"/>
        </w:rPr>
      </w:pPr>
      <w:r>
        <w:rPr>
          <w:rFonts w:eastAsia="Times New Roman"/>
          <w:b/>
          <w:bCs/>
          <w:color w:val="000000"/>
          <w:lang w:eastAsia="en-GB"/>
        </w:rPr>
        <w:t>Geography</w:t>
      </w:r>
    </w:p>
    <w:p w14:paraId="5ECC75FA" w14:textId="77777777" w:rsidR="00C93F2B" w:rsidRDefault="00C93F2B">
      <w:pPr>
        <w:spacing w:after="0" w:line="240" w:lineRule="auto"/>
        <w:ind w:hanging="10"/>
        <w:jc w:val="both"/>
        <w:rPr>
          <w:rFonts w:ascii="Times New Roman" w:eastAsia="Times New Roman" w:hAnsi="Times New Roman" w:cs="Times New Roman"/>
          <w:lang w:eastAsia="en-GB"/>
        </w:rPr>
      </w:pPr>
    </w:p>
    <w:p w14:paraId="64D6EAAF" w14:textId="77777777" w:rsidR="00C93F2B" w:rsidRDefault="00F01167">
      <w:pPr>
        <w:numPr>
          <w:ilvl w:val="0"/>
          <w:numId w:val="68"/>
        </w:numPr>
        <w:spacing w:after="0" w:line="240" w:lineRule="auto"/>
        <w:jc w:val="both"/>
        <w:textAlignment w:val="baseline"/>
        <w:rPr>
          <w:rFonts w:eastAsia="Times New Roman"/>
          <w:color w:val="000000"/>
          <w:lang w:eastAsia="en-GB"/>
        </w:rPr>
      </w:pPr>
      <w:r>
        <w:rPr>
          <w:rFonts w:eastAsia="Times New Roman"/>
          <w:color w:val="000000"/>
          <w:lang w:eastAsia="en-GB"/>
        </w:rPr>
        <w:t xml:space="preserve">Filters based on </w:t>
      </w:r>
      <w:hyperlink r:id="rId23" w:history="1">
        <w:r>
          <w:rPr>
            <w:rFonts w:eastAsia="Times New Roman"/>
            <w:color w:val="1155CC"/>
            <w:u w:val="single"/>
            <w:lang w:eastAsia="en-GB"/>
          </w:rPr>
          <w:t>NUTS areas</w:t>
        </w:r>
      </w:hyperlink>
      <w:r>
        <w:rPr>
          <w:rFonts w:eastAsia="Times New Roman"/>
          <w:color w:val="000000"/>
          <w:lang w:eastAsia="en-GB"/>
        </w:rPr>
        <w:t>, down to Local Authority area level</w:t>
      </w:r>
    </w:p>
    <w:p w14:paraId="23F626E0" w14:textId="77777777" w:rsidR="00C93F2B" w:rsidRDefault="00F01167">
      <w:pPr>
        <w:spacing w:after="0" w:line="240" w:lineRule="auto"/>
        <w:ind w:hanging="10"/>
        <w:jc w:val="both"/>
        <w:rPr>
          <w:rFonts w:ascii="Times New Roman" w:eastAsia="Times New Roman" w:hAnsi="Times New Roman" w:cs="Times New Roman"/>
          <w:lang w:eastAsia="en-GB"/>
        </w:rPr>
      </w:pPr>
      <w:r>
        <w:rPr>
          <w:rFonts w:ascii="Times New Roman" w:eastAsia="Times New Roman" w:hAnsi="Times New Roman" w:cs="Times New Roman"/>
          <w:lang w:eastAsia="en-GB"/>
        </w:rPr>
        <w:t> </w:t>
      </w:r>
    </w:p>
    <w:p w14:paraId="353E170C" w14:textId="77777777" w:rsidR="00C93F2B" w:rsidRDefault="00F01167">
      <w:pPr>
        <w:spacing w:after="0" w:line="240" w:lineRule="auto"/>
        <w:ind w:hanging="10"/>
        <w:jc w:val="both"/>
        <w:rPr>
          <w:rFonts w:eastAsia="Times New Roman"/>
          <w:b/>
          <w:bCs/>
          <w:color w:val="000000"/>
          <w:lang w:eastAsia="en-GB"/>
        </w:rPr>
      </w:pPr>
      <w:r>
        <w:rPr>
          <w:rFonts w:eastAsia="Times New Roman"/>
          <w:b/>
          <w:bCs/>
          <w:color w:val="000000"/>
          <w:lang w:eastAsia="en-GB"/>
        </w:rPr>
        <w:t>Sectors</w:t>
      </w:r>
    </w:p>
    <w:p w14:paraId="2A06FFA0" w14:textId="77777777" w:rsidR="00C93F2B" w:rsidRDefault="00C93F2B">
      <w:pPr>
        <w:spacing w:after="0" w:line="240" w:lineRule="auto"/>
        <w:ind w:hanging="10"/>
        <w:jc w:val="both"/>
        <w:rPr>
          <w:rFonts w:ascii="Times New Roman" w:eastAsia="Times New Roman" w:hAnsi="Times New Roman" w:cs="Times New Roman"/>
          <w:lang w:eastAsia="en-GB"/>
        </w:rPr>
      </w:pPr>
    </w:p>
    <w:p w14:paraId="698975EA" w14:textId="77777777" w:rsidR="00C93F2B" w:rsidRDefault="00F01167">
      <w:pPr>
        <w:spacing w:after="0" w:line="240" w:lineRule="auto"/>
        <w:ind w:hanging="10"/>
        <w:jc w:val="both"/>
        <w:rPr>
          <w:rFonts w:eastAsia="Times New Roman"/>
          <w:color w:val="000000"/>
          <w:lang w:eastAsia="en-GB"/>
        </w:rPr>
      </w:pPr>
      <w:r>
        <w:rPr>
          <w:rFonts w:eastAsia="Times New Roman"/>
          <w:color w:val="000000"/>
          <w:lang w:eastAsia="en-GB"/>
        </w:rPr>
        <w:t>All Sectors:</w:t>
      </w:r>
    </w:p>
    <w:p w14:paraId="597D7536" w14:textId="77777777" w:rsidR="00C93F2B" w:rsidRDefault="00F01167">
      <w:pPr>
        <w:pStyle w:val="ListParagraph"/>
        <w:numPr>
          <w:ilvl w:val="0"/>
          <w:numId w:val="75"/>
        </w:numPr>
        <w:spacing w:after="0" w:line="240" w:lineRule="auto"/>
        <w:jc w:val="both"/>
        <w:rPr>
          <w:rFonts w:eastAsia="Times New Roman"/>
          <w:color w:val="000000"/>
          <w:lang w:eastAsia="en-GB"/>
        </w:rPr>
      </w:pPr>
      <w:r>
        <w:rPr>
          <w:rFonts w:eastAsia="Times New Roman"/>
          <w:color w:val="000000"/>
          <w:lang w:eastAsia="en-GB"/>
        </w:rPr>
        <w:t>Central Government:</w:t>
      </w:r>
    </w:p>
    <w:p w14:paraId="3D068557" w14:textId="77777777" w:rsidR="00C93F2B" w:rsidRDefault="00F01167">
      <w:pPr>
        <w:spacing w:after="0" w:line="240" w:lineRule="auto"/>
        <w:ind w:firstLine="720"/>
        <w:jc w:val="both"/>
        <w:rPr>
          <w:rFonts w:ascii="Times New Roman" w:eastAsia="Times New Roman" w:hAnsi="Times New Roman" w:cs="Times New Roman"/>
          <w:lang w:eastAsia="en-GB"/>
        </w:rPr>
      </w:pPr>
      <w:r>
        <w:rPr>
          <w:rFonts w:eastAsia="Times New Roman"/>
          <w:color w:val="000000"/>
          <w:lang w:eastAsia="en-GB"/>
        </w:rPr>
        <w:t>- Defence</w:t>
      </w:r>
    </w:p>
    <w:p w14:paraId="3E362396" w14:textId="77777777" w:rsidR="00C93F2B" w:rsidRDefault="00F01167">
      <w:pPr>
        <w:spacing w:after="0" w:line="240" w:lineRule="auto"/>
        <w:ind w:firstLine="720"/>
        <w:jc w:val="both"/>
        <w:rPr>
          <w:rFonts w:ascii="Times New Roman" w:eastAsia="Times New Roman" w:hAnsi="Times New Roman" w:cs="Times New Roman"/>
          <w:lang w:eastAsia="en-GB"/>
        </w:rPr>
      </w:pPr>
      <w:r>
        <w:rPr>
          <w:rFonts w:eastAsia="Times New Roman"/>
          <w:color w:val="000000"/>
          <w:lang w:eastAsia="en-GB"/>
        </w:rPr>
        <w:t>- Environment</w:t>
      </w:r>
    </w:p>
    <w:p w14:paraId="3E00082F" w14:textId="77777777" w:rsidR="00C93F2B" w:rsidRDefault="00F01167">
      <w:pPr>
        <w:spacing w:after="0" w:line="240" w:lineRule="auto"/>
        <w:ind w:firstLine="720"/>
        <w:jc w:val="both"/>
        <w:rPr>
          <w:rFonts w:eastAsia="Times New Roman"/>
          <w:color w:val="000000"/>
          <w:lang w:eastAsia="en-GB"/>
        </w:rPr>
      </w:pPr>
      <w:r>
        <w:rPr>
          <w:rFonts w:eastAsia="Times New Roman"/>
          <w:color w:val="000000"/>
          <w:lang w:eastAsia="en-GB"/>
        </w:rPr>
        <w:t>- Other Central Government</w:t>
      </w:r>
    </w:p>
    <w:p w14:paraId="2246D2FC" w14:textId="77777777" w:rsidR="00C93F2B" w:rsidRDefault="00C93F2B">
      <w:pPr>
        <w:spacing w:after="0" w:line="240" w:lineRule="auto"/>
        <w:ind w:firstLine="720"/>
        <w:jc w:val="both"/>
        <w:rPr>
          <w:rFonts w:ascii="Times New Roman" w:eastAsia="Times New Roman" w:hAnsi="Times New Roman" w:cs="Times New Roman"/>
          <w:lang w:eastAsia="en-GB"/>
        </w:rPr>
      </w:pPr>
    </w:p>
    <w:p w14:paraId="1218D435" w14:textId="77777777" w:rsidR="00C93F2B" w:rsidRDefault="00F01167">
      <w:pPr>
        <w:pStyle w:val="ListParagraph"/>
        <w:numPr>
          <w:ilvl w:val="0"/>
          <w:numId w:val="75"/>
        </w:numPr>
        <w:spacing w:after="0" w:line="240" w:lineRule="auto"/>
        <w:jc w:val="both"/>
        <w:rPr>
          <w:rFonts w:ascii="Times New Roman" w:eastAsia="Times New Roman" w:hAnsi="Times New Roman" w:cs="Times New Roman"/>
          <w:lang w:eastAsia="en-GB"/>
        </w:rPr>
      </w:pPr>
      <w:r>
        <w:rPr>
          <w:rFonts w:eastAsia="Times New Roman"/>
          <w:color w:val="000000"/>
          <w:lang w:eastAsia="en-GB"/>
        </w:rPr>
        <w:t>Wider Public Sector:</w:t>
      </w:r>
    </w:p>
    <w:p w14:paraId="5D91B3BE" w14:textId="77777777" w:rsidR="00C93F2B" w:rsidRDefault="00F01167">
      <w:pPr>
        <w:spacing w:after="0" w:line="240" w:lineRule="auto"/>
        <w:ind w:firstLine="720"/>
        <w:jc w:val="both"/>
        <w:rPr>
          <w:rFonts w:ascii="Times New Roman" w:eastAsia="Times New Roman" w:hAnsi="Times New Roman" w:cs="Times New Roman"/>
          <w:lang w:eastAsia="en-GB"/>
        </w:rPr>
      </w:pPr>
      <w:r>
        <w:rPr>
          <w:rFonts w:eastAsia="Times New Roman"/>
          <w:color w:val="000000"/>
          <w:lang w:eastAsia="en-GB"/>
        </w:rPr>
        <w:t>- Education</w:t>
      </w:r>
    </w:p>
    <w:p w14:paraId="39A96C98" w14:textId="77777777" w:rsidR="00C93F2B" w:rsidRDefault="00F01167">
      <w:pPr>
        <w:spacing w:after="0" w:line="240" w:lineRule="auto"/>
        <w:ind w:left="720"/>
        <w:jc w:val="both"/>
        <w:rPr>
          <w:rFonts w:ascii="Times New Roman" w:eastAsia="Times New Roman" w:hAnsi="Times New Roman" w:cs="Times New Roman"/>
          <w:lang w:eastAsia="en-GB"/>
        </w:rPr>
      </w:pPr>
      <w:r>
        <w:rPr>
          <w:rFonts w:eastAsia="Times New Roman"/>
          <w:color w:val="000000"/>
          <w:lang w:eastAsia="en-GB"/>
        </w:rPr>
        <w:t>- Fire and Rescue</w:t>
      </w:r>
    </w:p>
    <w:p w14:paraId="33B7E4A0" w14:textId="77777777" w:rsidR="00C93F2B" w:rsidRDefault="00F01167">
      <w:pPr>
        <w:spacing w:after="0" w:line="240" w:lineRule="auto"/>
        <w:ind w:firstLine="720"/>
        <w:jc w:val="both"/>
        <w:rPr>
          <w:rFonts w:ascii="Times New Roman" w:eastAsia="Times New Roman" w:hAnsi="Times New Roman" w:cs="Times New Roman"/>
          <w:lang w:eastAsia="en-GB"/>
        </w:rPr>
      </w:pPr>
      <w:r>
        <w:rPr>
          <w:rFonts w:eastAsia="Times New Roman"/>
          <w:color w:val="000000"/>
          <w:lang w:eastAsia="en-GB"/>
        </w:rPr>
        <w:t>- Health</w:t>
      </w:r>
    </w:p>
    <w:p w14:paraId="30CAAD0F" w14:textId="77777777" w:rsidR="00C93F2B" w:rsidRDefault="00F01167">
      <w:pPr>
        <w:spacing w:after="0" w:line="240" w:lineRule="auto"/>
        <w:ind w:firstLine="720"/>
        <w:jc w:val="both"/>
        <w:rPr>
          <w:rFonts w:ascii="Times New Roman" w:eastAsia="Times New Roman" w:hAnsi="Times New Roman" w:cs="Times New Roman"/>
          <w:lang w:eastAsia="en-GB"/>
        </w:rPr>
      </w:pPr>
      <w:r>
        <w:rPr>
          <w:rFonts w:eastAsia="Times New Roman"/>
          <w:color w:val="000000"/>
          <w:lang w:eastAsia="en-GB"/>
        </w:rPr>
        <w:t>- Local Government</w:t>
      </w:r>
    </w:p>
    <w:p w14:paraId="6A5DF79B" w14:textId="77777777" w:rsidR="00C93F2B" w:rsidRDefault="00F01167">
      <w:pPr>
        <w:spacing w:after="0" w:line="240" w:lineRule="auto"/>
        <w:ind w:firstLine="720"/>
        <w:jc w:val="both"/>
        <w:rPr>
          <w:rFonts w:ascii="Times New Roman" w:eastAsia="Times New Roman" w:hAnsi="Times New Roman" w:cs="Times New Roman"/>
          <w:lang w:eastAsia="en-GB"/>
        </w:rPr>
      </w:pPr>
      <w:r>
        <w:rPr>
          <w:rFonts w:eastAsia="Times New Roman"/>
          <w:color w:val="000000"/>
          <w:lang w:eastAsia="en-GB"/>
        </w:rPr>
        <w:t>- Not for Profit (Charitable)</w:t>
      </w:r>
    </w:p>
    <w:p w14:paraId="31F0E960" w14:textId="77777777" w:rsidR="00C93F2B" w:rsidRDefault="00F01167">
      <w:pPr>
        <w:spacing w:after="0" w:line="240" w:lineRule="auto"/>
        <w:ind w:firstLine="720"/>
        <w:jc w:val="both"/>
        <w:rPr>
          <w:rFonts w:ascii="Times New Roman" w:eastAsia="Times New Roman" w:hAnsi="Times New Roman" w:cs="Times New Roman"/>
          <w:lang w:eastAsia="en-GB"/>
        </w:rPr>
      </w:pPr>
      <w:r>
        <w:rPr>
          <w:rFonts w:eastAsia="Times New Roman"/>
          <w:color w:val="000000"/>
          <w:lang w:eastAsia="en-GB"/>
        </w:rPr>
        <w:t>- Police</w:t>
      </w:r>
    </w:p>
    <w:p w14:paraId="0235C937" w14:textId="77777777" w:rsidR="00C93F2B" w:rsidRDefault="00F01167">
      <w:pPr>
        <w:spacing w:after="0" w:line="240" w:lineRule="auto"/>
        <w:ind w:firstLine="720"/>
        <w:jc w:val="both"/>
        <w:rPr>
          <w:rFonts w:eastAsia="Times New Roman"/>
          <w:color w:val="000000"/>
          <w:lang w:eastAsia="en-GB"/>
        </w:rPr>
      </w:pPr>
      <w:r>
        <w:rPr>
          <w:rFonts w:eastAsia="Times New Roman"/>
          <w:color w:val="000000"/>
          <w:lang w:eastAsia="en-GB"/>
        </w:rPr>
        <w:t>- Housing Association</w:t>
      </w:r>
    </w:p>
    <w:p w14:paraId="64750571" w14:textId="77777777" w:rsidR="00C93F2B" w:rsidRDefault="00C93F2B">
      <w:pPr>
        <w:spacing w:after="0" w:line="240" w:lineRule="auto"/>
        <w:ind w:firstLine="720"/>
        <w:jc w:val="both"/>
        <w:rPr>
          <w:rFonts w:ascii="Times New Roman" w:eastAsia="Times New Roman" w:hAnsi="Times New Roman" w:cs="Times New Roman"/>
          <w:lang w:eastAsia="en-GB"/>
        </w:rPr>
      </w:pPr>
    </w:p>
    <w:p w14:paraId="785E9E4F" w14:textId="77777777" w:rsidR="00C93F2B" w:rsidRDefault="00F01167">
      <w:pPr>
        <w:pStyle w:val="ListParagraph"/>
        <w:numPr>
          <w:ilvl w:val="0"/>
          <w:numId w:val="75"/>
        </w:numPr>
        <w:spacing w:after="0" w:line="240" w:lineRule="auto"/>
        <w:jc w:val="both"/>
        <w:rPr>
          <w:rFonts w:ascii="Times New Roman" w:eastAsia="Times New Roman" w:hAnsi="Times New Roman" w:cs="Times New Roman"/>
          <w:lang w:eastAsia="en-GB"/>
        </w:rPr>
      </w:pPr>
      <w:r>
        <w:rPr>
          <w:rFonts w:eastAsia="Times New Roman"/>
          <w:color w:val="000000"/>
          <w:lang w:eastAsia="en-GB"/>
        </w:rPr>
        <w:t>Other Wider Public Sector</w:t>
      </w:r>
    </w:p>
    <w:p w14:paraId="60EC40DF" w14:textId="77777777" w:rsidR="00C93F2B" w:rsidRDefault="00F01167">
      <w:pPr>
        <w:spacing w:after="0" w:line="240" w:lineRule="auto"/>
        <w:ind w:hanging="10"/>
        <w:jc w:val="both"/>
        <w:rPr>
          <w:rFonts w:ascii="Times New Roman" w:eastAsia="Times New Roman" w:hAnsi="Times New Roman" w:cs="Times New Roman"/>
          <w:lang w:eastAsia="en-GB"/>
        </w:rPr>
      </w:pPr>
      <w:r>
        <w:rPr>
          <w:rFonts w:ascii="Times New Roman" w:eastAsia="Times New Roman" w:hAnsi="Times New Roman" w:cs="Times New Roman"/>
          <w:lang w:eastAsia="en-GB"/>
        </w:rPr>
        <w:t> </w:t>
      </w:r>
    </w:p>
    <w:p w14:paraId="628194BC" w14:textId="77777777" w:rsidR="00C93F2B" w:rsidRDefault="00F01167">
      <w:pPr>
        <w:spacing w:after="0" w:line="240" w:lineRule="auto"/>
        <w:ind w:hanging="10"/>
        <w:jc w:val="both"/>
        <w:rPr>
          <w:rFonts w:eastAsia="Times New Roman"/>
          <w:b/>
          <w:bCs/>
          <w:color w:val="000000"/>
          <w:lang w:eastAsia="en-GB"/>
        </w:rPr>
      </w:pPr>
      <w:r>
        <w:rPr>
          <w:rFonts w:eastAsia="Times New Roman"/>
          <w:b/>
          <w:bCs/>
          <w:color w:val="000000"/>
          <w:lang w:eastAsia="en-GB"/>
        </w:rPr>
        <w:t>Vehicle Types</w:t>
      </w:r>
    </w:p>
    <w:p w14:paraId="2033D574" w14:textId="77777777" w:rsidR="00C93F2B" w:rsidRDefault="00C93F2B">
      <w:pPr>
        <w:spacing w:after="0" w:line="240" w:lineRule="auto"/>
        <w:ind w:hanging="10"/>
        <w:jc w:val="both"/>
        <w:rPr>
          <w:rFonts w:ascii="Times New Roman" w:eastAsia="Times New Roman" w:hAnsi="Times New Roman" w:cs="Times New Roman"/>
          <w:lang w:eastAsia="en-GB"/>
        </w:rPr>
      </w:pPr>
    </w:p>
    <w:p w14:paraId="7F907EDB" w14:textId="77777777" w:rsidR="00C93F2B" w:rsidRDefault="00F01167">
      <w:pPr>
        <w:numPr>
          <w:ilvl w:val="0"/>
          <w:numId w:val="70"/>
        </w:numPr>
        <w:spacing w:after="0" w:line="240" w:lineRule="auto"/>
        <w:jc w:val="both"/>
        <w:textAlignment w:val="baseline"/>
        <w:rPr>
          <w:rFonts w:eastAsia="Times New Roman"/>
          <w:color w:val="000000"/>
          <w:lang w:eastAsia="en-GB"/>
        </w:rPr>
      </w:pPr>
      <w:r>
        <w:rPr>
          <w:rFonts w:eastAsia="Times New Roman"/>
          <w:color w:val="000000"/>
          <w:lang w:eastAsia="en-GB"/>
        </w:rPr>
        <w:t>Car</w:t>
      </w:r>
    </w:p>
    <w:p w14:paraId="655F8ED8" w14:textId="77777777" w:rsidR="00C93F2B" w:rsidRDefault="00F01167">
      <w:pPr>
        <w:numPr>
          <w:ilvl w:val="0"/>
          <w:numId w:val="70"/>
        </w:numPr>
        <w:spacing w:after="0" w:line="240" w:lineRule="auto"/>
        <w:jc w:val="both"/>
        <w:textAlignment w:val="baseline"/>
        <w:rPr>
          <w:rFonts w:eastAsia="Times New Roman"/>
          <w:color w:val="000000"/>
          <w:lang w:eastAsia="en-GB"/>
        </w:rPr>
      </w:pPr>
      <w:r>
        <w:rPr>
          <w:rFonts w:eastAsia="Times New Roman"/>
          <w:color w:val="000000"/>
          <w:lang w:eastAsia="en-GB"/>
        </w:rPr>
        <w:t>Light to Medium Commercial vehicle, up to, but not including, 7.5T</w:t>
      </w:r>
    </w:p>
    <w:p w14:paraId="1DF7D4E7" w14:textId="77777777" w:rsidR="00C93F2B" w:rsidRDefault="00F01167">
      <w:pPr>
        <w:numPr>
          <w:ilvl w:val="0"/>
          <w:numId w:val="70"/>
        </w:numPr>
        <w:spacing w:after="0" w:line="240" w:lineRule="auto"/>
        <w:jc w:val="both"/>
        <w:textAlignment w:val="baseline"/>
        <w:rPr>
          <w:rFonts w:eastAsia="Times New Roman"/>
          <w:color w:val="000000"/>
          <w:lang w:eastAsia="en-GB"/>
        </w:rPr>
      </w:pPr>
      <w:r>
        <w:rPr>
          <w:rFonts w:eastAsia="Times New Roman"/>
          <w:color w:val="000000"/>
          <w:lang w:eastAsia="en-GB"/>
        </w:rPr>
        <w:t>Medium to Heavy Commercial vehicle, 7.5T and above</w:t>
      </w:r>
    </w:p>
    <w:p w14:paraId="47AF72FE" w14:textId="77777777" w:rsidR="00C93F2B" w:rsidRDefault="00F01167">
      <w:pPr>
        <w:numPr>
          <w:ilvl w:val="0"/>
          <w:numId w:val="70"/>
        </w:numPr>
        <w:shd w:val="clear" w:color="auto" w:fill="FFFFFF"/>
        <w:spacing w:after="0" w:line="240" w:lineRule="auto"/>
        <w:jc w:val="both"/>
        <w:textAlignment w:val="baseline"/>
        <w:rPr>
          <w:rFonts w:eastAsia="Times New Roman"/>
          <w:color w:val="000000"/>
          <w:lang w:eastAsia="en-GB"/>
        </w:rPr>
      </w:pPr>
      <w:r>
        <w:rPr>
          <w:rFonts w:eastAsia="Times New Roman"/>
          <w:color w:val="000000"/>
          <w:lang w:eastAsia="en-GB"/>
        </w:rPr>
        <w:t>Motorcycle, including quad bike and scooter</w:t>
      </w:r>
    </w:p>
    <w:p w14:paraId="30DB4248" w14:textId="77777777" w:rsidR="00C93F2B" w:rsidRDefault="00F01167">
      <w:pPr>
        <w:numPr>
          <w:ilvl w:val="0"/>
          <w:numId w:val="70"/>
        </w:numPr>
        <w:shd w:val="clear" w:color="auto" w:fill="FFFFFF"/>
        <w:spacing w:after="0" w:line="240" w:lineRule="auto"/>
        <w:jc w:val="both"/>
        <w:textAlignment w:val="baseline"/>
        <w:rPr>
          <w:rFonts w:eastAsia="Times New Roman"/>
          <w:color w:val="000000"/>
          <w:lang w:eastAsia="en-GB"/>
        </w:rPr>
      </w:pPr>
      <w:r>
        <w:rPr>
          <w:rFonts w:eastAsia="Times New Roman"/>
          <w:color w:val="000000"/>
          <w:lang w:eastAsia="en-GB"/>
        </w:rPr>
        <w:t>Bus and Coach</w:t>
      </w:r>
    </w:p>
    <w:p w14:paraId="668A8CFC" w14:textId="77777777" w:rsidR="00C93F2B" w:rsidRDefault="00F01167">
      <w:pPr>
        <w:numPr>
          <w:ilvl w:val="0"/>
          <w:numId w:val="70"/>
        </w:numPr>
        <w:shd w:val="clear" w:color="auto" w:fill="FFFFFF"/>
        <w:spacing w:after="0" w:line="240" w:lineRule="auto"/>
        <w:jc w:val="both"/>
        <w:textAlignment w:val="baseline"/>
        <w:rPr>
          <w:rFonts w:eastAsia="Times New Roman"/>
          <w:color w:val="000000"/>
          <w:lang w:eastAsia="en-GB"/>
        </w:rPr>
      </w:pPr>
      <w:r>
        <w:rPr>
          <w:rFonts w:eastAsia="Times New Roman"/>
          <w:color w:val="000000"/>
          <w:lang w:eastAsia="en-GB"/>
        </w:rPr>
        <w:t>Trailer, including semi-trailer, and de-mountable</w:t>
      </w:r>
    </w:p>
    <w:p w14:paraId="6C4F8EAA" w14:textId="77777777" w:rsidR="00C93F2B" w:rsidRDefault="00F01167">
      <w:pPr>
        <w:numPr>
          <w:ilvl w:val="0"/>
          <w:numId w:val="70"/>
        </w:numPr>
        <w:shd w:val="clear" w:color="auto" w:fill="FFFFFF"/>
        <w:spacing w:after="0" w:line="240" w:lineRule="auto"/>
        <w:jc w:val="both"/>
        <w:textAlignment w:val="baseline"/>
        <w:rPr>
          <w:rFonts w:eastAsia="Times New Roman"/>
          <w:color w:val="000000"/>
          <w:lang w:eastAsia="en-GB"/>
        </w:rPr>
      </w:pPr>
      <w:r>
        <w:rPr>
          <w:rFonts w:eastAsia="Times New Roman"/>
          <w:color w:val="000000"/>
          <w:lang w:eastAsia="en-GB"/>
        </w:rPr>
        <w:t>Boat (water going vessel)</w:t>
      </w:r>
    </w:p>
    <w:p w14:paraId="4320F7E9" w14:textId="77777777" w:rsidR="00C93F2B" w:rsidRDefault="00F01167">
      <w:pPr>
        <w:numPr>
          <w:ilvl w:val="0"/>
          <w:numId w:val="70"/>
        </w:numPr>
        <w:shd w:val="clear" w:color="auto" w:fill="FFFFFF"/>
        <w:spacing w:after="0" w:line="240" w:lineRule="auto"/>
        <w:jc w:val="both"/>
        <w:textAlignment w:val="baseline"/>
        <w:rPr>
          <w:rFonts w:eastAsia="Times New Roman"/>
          <w:color w:val="000000"/>
          <w:lang w:eastAsia="en-GB"/>
        </w:rPr>
      </w:pPr>
      <w:r>
        <w:rPr>
          <w:rFonts w:eastAsia="Times New Roman"/>
          <w:color w:val="000000"/>
          <w:lang w:eastAsia="en-GB"/>
        </w:rPr>
        <w:t>Other</w:t>
      </w:r>
    </w:p>
    <w:p w14:paraId="62D36BB3" w14:textId="77777777" w:rsidR="00C93F2B" w:rsidRDefault="00F01167">
      <w:pPr>
        <w:spacing w:after="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w:t>
      </w:r>
    </w:p>
    <w:p w14:paraId="63D7ABDC" w14:textId="77777777" w:rsidR="00C93F2B" w:rsidRDefault="00F01167">
      <w:pPr>
        <w:spacing w:after="0" w:line="240" w:lineRule="auto"/>
        <w:jc w:val="both"/>
        <w:rPr>
          <w:rFonts w:eastAsia="Times New Roman"/>
          <w:b/>
          <w:bCs/>
          <w:color w:val="000000"/>
          <w:lang w:eastAsia="en-GB"/>
        </w:rPr>
      </w:pPr>
      <w:r>
        <w:rPr>
          <w:rFonts w:eastAsia="Times New Roman"/>
          <w:b/>
          <w:bCs/>
          <w:color w:val="000000"/>
          <w:lang w:eastAsia="en-GB"/>
        </w:rPr>
        <w:t>Products</w:t>
      </w:r>
    </w:p>
    <w:p w14:paraId="63E8FE19" w14:textId="77777777" w:rsidR="00C93F2B" w:rsidRDefault="00C93F2B">
      <w:pPr>
        <w:spacing w:after="0" w:line="240" w:lineRule="auto"/>
        <w:jc w:val="both"/>
        <w:rPr>
          <w:rFonts w:ascii="Times New Roman" w:eastAsia="Times New Roman" w:hAnsi="Times New Roman" w:cs="Times New Roman"/>
          <w:lang w:eastAsia="en-GB"/>
        </w:rPr>
      </w:pPr>
    </w:p>
    <w:p w14:paraId="7C68E37D" w14:textId="77777777" w:rsidR="00C93F2B" w:rsidRDefault="00F01167">
      <w:pPr>
        <w:spacing w:after="0" w:line="240" w:lineRule="auto"/>
        <w:jc w:val="both"/>
        <w:textAlignment w:val="baseline"/>
        <w:rPr>
          <w:rFonts w:eastAsia="Times New Roman"/>
          <w:color w:val="000000"/>
          <w:lang w:eastAsia="en-GB"/>
        </w:rPr>
      </w:pPr>
      <w:r>
        <w:rPr>
          <w:rFonts w:eastAsia="Times New Roman"/>
          <w:color w:val="000000"/>
          <w:lang w:eastAsia="en-GB"/>
        </w:rPr>
        <w:t>Service Types:</w:t>
      </w:r>
    </w:p>
    <w:p w14:paraId="5EEC2D84" w14:textId="77777777" w:rsidR="00C93F2B" w:rsidRDefault="00F01167">
      <w:pPr>
        <w:numPr>
          <w:ilvl w:val="0"/>
          <w:numId w:val="72"/>
        </w:numPr>
        <w:spacing w:after="0" w:line="240" w:lineRule="auto"/>
        <w:jc w:val="both"/>
        <w:textAlignment w:val="baseline"/>
        <w:rPr>
          <w:rFonts w:eastAsia="Times New Roman"/>
          <w:color w:val="000000"/>
          <w:lang w:eastAsia="en-GB"/>
        </w:rPr>
      </w:pPr>
      <w:r>
        <w:rPr>
          <w:rFonts w:eastAsia="Times New Roman"/>
          <w:color w:val="000000"/>
          <w:shd w:val="clear" w:color="auto" w:fill="FFFFFF"/>
          <w:lang w:eastAsia="en-GB"/>
        </w:rPr>
        <w:t>Design, consultancy and advisory services for conversions</w:t>
      </w:r>
    </w:p>
    <w:p w14:paraId="259B0B94" w14:textId="77777777" w:rsidR="00C93F2B" w:rsidRDefault="00F01167">
      <w:pPr>
        <w:numPr>
          <w:ilvl w:val="1"/>
          <w:numId w:val="77"/>
        </w:numPr>
        <w:shd w:val="clear" w:color="auto" w:fill="FFFFFF"/>
        <w:spacing w:after="0" w:line="240" w:lineRule="auto"/>
        <w:jc w:val="both"/>
        <w:textAlignment w:val="baseline"/>
        <w:rPr>
          <w:rFonts w:eastAsia="Times New Roman"/>
          <w:color w:val="000000"/>
          <w:lang w:eastAsia="en-GB"/>
        </w:rPr>
      </w:pPr>
      <w:r>
        <w:rPr>
          <w:rFonts w:eastAsia="Times New Roman"/>
          <w:color w:val="000000"/>
          <w:shd w:val="clear" w:color="auto" w:fill="FFFFFF"/>
          <w:lang w:eastAsia="en-GB"/>
        </w:rPr>
        <w:t>Conversion services</w:t>
      </w:r>
    </w:p>
    <w:p w14:paraId="4817F273" w14:textId="77777777" w:rsidR="00C93F2B" w:rsidRDefault="00F01167">
      <w:pPr>
        <w:numPr>
          <w:ilvl w:val="1"/>
          <w:numId w:val="77"/>
        </w:numPr>
        <w:shd w:val="clear" w:color="auto" w:fill="FFFFFF"/>
        <w:spacing w:after="0" w:line="240" w:lineRule="auto"/>
        <w:jc w:val="both"/>
        <w:textAlignment w:val="baseline"/>
        <w:rPr>
          <w:rFonts w:eastAsia="Times New Roman"/>
          <w:color w:val="000000"/>
          <w:lang w:eastAsia="en-GB"/>
        </w:rPr>
      </w:pPr>
      <w:r>
        <w:rPr>
          <w:rFonts w:eastAsia="Times New Roman"/>
          <w:color w:val="000000"/>
          <w:shd w:val="clear" w:color="auto" w:fill="FFFFFF"/>
          <w:lang w:eastAsia="en-GB"/>
        </w:rPr>
        <w:t>Decommissioning</w:t>
      </w:r>
    </w:p>
    <w:p w14:paraId="59BCFCC5" w14:textId="77777777" w:rsidR="00C93F2B" w:rsidRDefault="00F01167">
      <w:pPr>
        <w:numPr>
          <w:ilvl w:val="1"/>
          <w:numId w:val="77"/>
        </w:numPr>
        <w:shd w:val="clear" w:color="auto" w:fill="FFFFFF"/>
        <w:spacing w:after="0" w:line="240" w:lineRule="auto"/>
        <w:jc w:val="both"/>
        <w:textAlignment w:val="baseline"/>
        <w:rPr>
          <w:rFonts w:eastAsia="Times New Roman"/>
          <w:color w:val="000000"/>
          <w:lang w:eastAsia="en-GB"/>
        </w:rPr>
      </w:pPr>
      <w:r>
        <w:rPr>
          <w:rFonts w:eastAsia="Times New Roman"/>
          <w:color w:val="000000"/>
          <w:shd w:val="clear" w:color="auto" w:fill="FFFFFF"/>
          <w:lang w:eastAsia="en-GB"/>
        </w:rPr>
        <w:t>Other services</w:t>
      </w:r>
    </w:p>
    <w:p w14:paraId="4239E6FC" w14:textId="77777777" w:rsidR="00C93F2B" w:rsidRDefault="00F01167">
      <w:pPr>
        <w:numPr>
          <w:ilvl w:val="0"/>
          <w:numId w:val="73"/>
        </w:numPr>
        <w:spacing w:after="0" w:line="240" w:lineRule="auto"/>
        <w:jc w:val="both"/>
        <w:textAlignment w:val="baseline"/>
        <w:rPr>
          <w:rFonts w:eastAsia="Times New Roman"/>
          <w:color w:val="000000"/>
          <w:lang w:eastAsia="en-GB"/>
        </w:rPr>
      </w:pPr>
      <w:r>
        <w:rPr>
          <w:rFonts w:eastAsia="Times New Roman"/>
          <w:color w:val="000000"/>
          <w:lang w:eastAsia="en-GB"/>
        </w:rPr>
        <w:t>Livery</w:t>
      </w:r>
    </w:p>
    <w:p w14:paraId="425F2E15" w14:textId="77777777" w:rsidR="00C93F2B" w:rsidRDefault="00F01167">
      <w:pPr>
        <w:numPr>
          <w:ilvl w:val="1"/>
          <w:numId w:val="77"/>
        </w:numPr>
        <w:shd w:val="clear" w:color="auto" w:fill="FFFFFF"/>
        <w:spacing w:after="0" w:line="240" w:lineRule="auto"/>
        <w:jc w:val="both"/>
        <w:textAlignment w:val="baseline"/>
        <w:rPr>
          <w:rFonts w:eastAsia="Times New Roman"/>
          <w:color w:val="000000"/>
          <w:lang w:eastAsia="en-GB"/>
        </w:rPr>
      </w:pPr>
      <w:r>
        <w:rPr>
          <w:rFonts w:eastAsia="Times New Roman"/>
          <w:color w:val="000000"/>
          <w:shd w:val="clear" w:color="auto" w:fill="FFFFFF"/>
          <w:lang w:eastAsia="en-GB"/>
        </w:rPr>
        <w:t>Livery, wraps, vinyl, signage and graphics including origination, design and application</w:t>
      </w:r>
    </w:p>
    <w:p w14:paraId="5877C1FB" w14:textId="77777777" w:rsidR="00C93F2B" w:rsidRDefault="00F01167">
      <w:pPr>
        <w:numPr>
          <w:ilvl w:val="1"/>
          <w:numId w:val="77"/>
        </w:numPr>
        <w:shd w:val="clear" w:color="auto" w:fill="FFFFFF"/>
        <w:spacing w:after="0" w:line="240" w:lineRule="auto"/>
        <w:jc w:val="both"/>
        <w:textAlignment w:val="baseline"/>
        <w:rPr>
          <w:rFonts w:eastAsia="Times New Roman"/>
          <w:color w:val="000000"/>
          <w:lang w:eastAsia="en-GB"/>
        </w:rPr>
      </w:pPr>
      <w:r>
        <w:rPr>
          <w:rFonts w:eastAsia="Times New Roman"/>
          <w:color w:val="000000"/>
          <w:shd w:val="clear" w:color="auto" w:fill="FFFFFF"/>
          <w:lang w:eastAsia="en-GB"/>
        </w:rPr>
        <w:t>Other livery goods and services</w:t>
      </w:r>
    </w:p>
    <w:p w14:paraId="055998AC" w14:textId="77777777" w:rsidR="00C93F2B" w:rsidRDefault="00C93F2B">
      <w:pPr>
        <w:shd w:val="clear" w:color="auto" w:fill="FFFFFF"/>
        <w:spacing w:after="0" w:line="240" w:lineRule="auto"/>
        <w:ind w:left="1440"/>
        <w:jc w:val="both"/>
        <w:textAlignment w:val="baseline"/>
        <w:rPr>
          <w:rFonts w:eastAsia="Times New Roman"/>
          <w:color w:val="000000"/>
          <w:lang w:eastAsia="en-GB"/>
        </w:rPr>
      </w:pPr>
    </w:p>
    <w:p w14:paraId="3C9AE9D0" w14:textId="77777777" w:rsidR="001E0052" w:rsidRDefault="001E0052">
      <w:pPr>
        <w:shd w:val="clear" w:color="auto" w:fill="FFFFFF"/>
        <w:spacing w:after="0" w:line="240" w:lineRule="auto"/>
        <w:ind w:left="1440"/>
        <w:jc w:val="both"/>
        <w:textAlignment w:val="baseline"/>
        <w:rPr>
          <w:rFonts w:eastAsia="Times New Roman"/>
          <w:color w:val="000000"/>
          <w:lang w:eastAsia="en-GB"/>
        </w:rPr>
      </w:pPr>
    </w:p>
    <w:p w14:paraId="2C9F4F92" w14:textId="77777777" w:rsidR="001E0052" w:rsidRDefault="001E0052">
      <w:pPr>
        <w:shd w:val="clear" w:color="auto" w:fill="FFFFFF"/>
        <w:spacing w:after="0" w:line="240" w:lineRule="auto"/>
        <w:ind w:left="1440"/>
        <w:jc w:val="both"/>
        <w:textAlignment w:val="baseline"/>
        <w:rPr>
          <w:rFonts w:eastAsia="Times New Roman"/>
          <w:color w:val="000000"/>
          <w:lang w:eastAsia="en-GB"/>
        </w:rPr>
      </w:pPr>
    </w:p>
    <w:p w14:paraId="1E08B6D8" w14:textId="77777777" w:rsidR="001E0052" w:rsidRDefault="001E0052">
      <w:pPr>
        <w:shd w:val="clear" w:color="auto" w:fill="FFFFFF"/>
        <w:spacing w:after="0" w:line="240" w:lineRule="auto"/>
        <w:ind w:left="1440"/>
        <w:jc w:val="both"/>
        <w:textAlignment w:val="baseline"/>
        <w:rPr>
          <w:rFonts w:eastAsia="Times New Roman"/>
          <w:color w:val="000000"/>
          <w:lang w:eastAsia="en-GB"/>
        </w:rPr>
      </w:pPr>
    </w:p>
    <w:p w14:paraId="5942B3D5" w14:textId="77777777" w:rsidR="00C93F2B" w:rsidRDefault="00F01167">
      <w:pPr>
        <w:numPr>
          <w:ilvl w:val="0"/>
          <w:numId w:val="73"/>
        </w:numPr>
        <w:spacing w:after="0" w:line="240" w:lineRule="auto"/>
        <w:jc w:val="both"/>
        <w:textAlignment w:val="baseline"/>
        <w:rPr>
          <w:rFonts w:eastAsia="Times New Roman"/>
          <w:color w:val="000000"/>
          <w:lang w:eastAsia="en-GB"/>
        </w:rPr>
      </w:pPr>
      <w:r>
        <w:rPr>
          <w:rFonts w:eastAsia="Times New Roman"/>
          <w:color w:val="000000"/>
          <w:lang w:eastAsia="en-GB"/>
        </w:rPr>
        <w:lastRenderedPageBreak/>
        <w:t>Electrical</w:t>
      </w:r>
    </w:p>
    <w:p w14:paraId="6EF9D8CE" w14:textId="77777777" w:rsidR="00C93F2B" w:rsidRDefault="00F01167">
      <w:pPr>
        <w:numPr>
          <w:ilvl w:val="1"/>
          <w:numId w:val="77"/>
        </w:numPr>
        <w:shd w:val="clear" w:color="auto" w:fill="FFFFFF"/>
        <w:spacing w:after="0" w:line="240" w:lineRule="auto"/>
        <w:jc w:val="both"/>
        <w:textAlignment w:val="baseline"/>
        <w:rPr>
          <w:rFonts w:eastAsia="Times New Roman"/>
          <w:color w:val="000000"/>
          <w:shd w:val="clear" w:color="auto" w:fill="FFFFFF"/>
          <w:lang w:eastAsia="en-GB"/>
        </w:rPr>
      </w:pPr>
      <w:r>
        <w:rPr>
          <w:rFonts w:eastAsia="Times New Roman"/>
          <w:color w:val="000000"/>
          <w:shd w:val="clear" w:color="auto" w:fill="FFFFFF"/>
          <w:lang w:eastAsia="en-GB"/>
        </w:rPr>
        <w:t>Lighting and sounding including lightbars, beacons, emergency lighting, interior/exterior lights, sirens and other related items</w:t>
      </w:r>
    </w:p>
    <w:p w14:paraId="01FF3C4B" w14:textId="77777777" w:rsidR="00C93F2B" w:rsidRDefault="00F01167">
      <w:pPr>
        <w:numPr>
          <w:ilvl w:val="1"/>
          <w:numId w:val="77"/>
        </w:numPr>
        <w:shd w:val="clear" w:color="auto" w:fill="FFFFFF"/>
        <w:spacing w:after="0" w:line="240" w:lineRule="auto"/>
        <w:jc w:val="both"/>
        <w:textAlignment w:val="baseline"/>
        <w:rPr>
          <w:rFonts w:eastAsia="Times New Roman"/>
          <w:color w:val="000000"/>
          <w:shd w:val="clear" w:color="auto" w:fill="FFFFFF"/>
          <w:lang w:eastAsia="en-GB"/>
        </w:rPr>
      </w:pPr>
      <w:r>
        <w:rPr>
          <w:rFonts w:eastAsia="Times New Roman"/>
          <w:color w:val="000000"/>
          <w:shd w:val="clear" w:color="auto" w:fill="FFFFFF"/>
          <w:lang w:eastAsia="en-GB"/>
        </w:rPr>
        <w:t>Power including on-board power generation, electrical power, power management and other related items and including the testing of such items</w:t>
      </w:r>
    </w:p>
    <w:p w14:paraId="37B8BAA0" w14:textId="77777777" w:rsidR="00C93F2B" w:rsidRDefault="00F01167">
      <w:pPr>
        <w:numPr>
          <w:ilvl w:val="1"/>
          <w:numId w:val="77"/>
        </w:numPr>
        <w:shd w:val="clear" w:color="auto" w:fill="FFFFFF"/>
        <w:spacing w:after="0" w:line="240" w:lineRule="auto"/>
        <w:jc w:val="both"/>
        <w:textAlignment w:val="baseline"/>
        <w:rPr>
          <w:rFonts w:eastAsia="Times New Roman"/>
          <w:color w:val="000000"/>
          <w:shd w:val="clear" w:color="auto" w:fill="FFFFFF"/>
          <w:lang w:eastAsia="en-GB"/>
        </w:rPr>
      </w:pPr>
      <w:r>
        <w:rPr>
          <w:rFonts w:eastAsia="Times New Roman"/>
          <w:color w:val="000000"/>
          <w:shd w:val="clear" w:color="auto" w:fill="FFFFFF"/>
          <w:lang w:eastAsia="en-GB"/>
        </w:rPr>
        <w:t>Electrical control units including in-cab and saloon control units and other related items</w:t>
      </w:r>
    </w:p>
    <w:p w14:paraId="44DC5A81" w14:textId="77777777" w:rsidR="00C93F2B" w:rsidRDefault="00F01167">
      <w:pPr>
        <w:numPr>
          <w:ilvl w:val="1"/>
          <w:numId w:val="77"/>
        </w:numPr>
        <w:shd w:val="clear" w:color="auto" w:fill="FFFFFF"/>
        <w:spacing w:after="0" w:line="240" w:lineRule="auto"/>
        <w:jc w:val="both"/>
        <w:textAlignment w:val="baseline"/>
        <w:rPr>
          <w:rFonts w:eastAsia="Times New Roman"/>
          <w:color w:val="000000"/>
          <w:shd w:val="clear" w:color="auto" w:fill="FFFFFF"/>
          <w:lang w:eastAsia="en-GB"/>
        </w:rPr>
      </w:pPr>
      <w:r>
        <w:rPr>
          <w:rFonts w:eastAsia="Times New Roman"/>
          <w:color w:val="000000"/>
          <w:shd w:val="clear" w:color="auto" w:fill="FFFFFF"/>
          <w:lang w:eastAsia="en-GB"/>
        </w:rPr>
        <w:t>Other electrical conversions</w:t>
      </w:r>
    </w:p>
    <w:p w14:paraId="5488D131" w14:textId="77777777" w:rsidR="00C93F2B" w:rsidRDefault="00C93F2B">
      <w:pPr>
        <w:shd w:val="clear" w:color="auto" w:fill="FFFFFF"/>
        <w:spacing w:after="0" w:line="240" w:lineRule="auto"/>
        <w:ind w:left="1440"/>
        <w:jc w:val="both"/>
        <w:textAlignment w:val="baseline"/>
        <w:rPr>
          <w:rFonts w:eastAsia="Times New Roman"/>
          <w:color w:val="000000"/>
          <w:shd w:val="clear" w:color="auto" w:fill="FFFFFF"/>
          <w:lang w:eastAsia="en-GB"/>
        </w:rPr>
      </w:pPr>
    </w:p>
    <w:p w14:paraId="1FCE25D6" w14:textId="77777777" w:rsidR="00C93F2B" w:rsidRDefault="00F01167">
      <w:pPr>
        <w:numPr>
          <w:ilvl w:val="0"/>
          <w:numId w:val="73"/>
        </w:numPr>
        <w:spacing w:after="0" w:line="240" w:lineRule="auto"/>
        <w:jc w:val="both"/>
        <w:textAlignment w:val="baseline"/>
        <w:rPr>
          <w:rFonts w:eastAsia="Times New Roman"/>
          <w:color w:val="000000"/>
          <w:lang w:eastAsia="en-GB"/>
        </w:rPr>
      </w:pPr>
      <w:r>
        <w:rPr>
          <w:rFonts w:eastAsia="Times New Roman"/>
          <w:color w:val="000000"/>
          <w:lang w:eastAsia="en-GB"/>
        </w:rPr>
        <w:t>Communications</w:t>
      </w:r>
    </w:p>
    <w:p w14:paraId="428E3ED6" w14:textId="77777777" w:rsidR="00C93F2B" w:rsidRDefault="00F01167">
      <w:pPr>
        <w:numPr>
          <w:ilvl w:val="1"/>
          <w:numId w:val="77"/>
        </w:numPr>
        <w:shd w:val="clear" w:color="auto" w:fill="FFFFFF"/>
        <w:spacing w:after="0" w:line="240" w:lineRule="auto"/>
        <w:jc w:val="both"/>
        <w:textAlignment w:val="baseline"/>
        <w:rPr>
          <w:rFonts w:eastAsia="Times New Roman"/>
          <w:color w:val="000000"/>
          <w:shd w:val="clear" w:color="auto" w:fill="FFFFFF"/>
          <w:lang w:eastAsia="en-GB"/>
        </w:rPr>
      </w:pPr>
      <w:r>
        <w:rPr>
          <w:rFonts w:eastAsia="Times New Roman"/>
          <w:color w:val="000000"/>
          <w:shd w:val="clear" w:color="auto" w:fill="FFFFFF"/>
          <w:lang w:eastAsia="en-GB"/>
        </w:rPr>
        <w:t>Services including installation and deinstallation of telematics/GPS equipment</w:t>
      </w:r>
    </w:p>
    <w:p w14:paraId="660D6524" w14:textId="77777777" w:rsidR="00C93F2B" w:rsidRDefault="00F01167">
      <w:pPr>
        <w:numPr>
          <w:ilvl w:val="1"/>
          <w:numId w:val="77"/>
        </w:numPr>
        <w:shd w:val="clear" w:color="auto" w:fill="FFFFFF"/>
        <w:spacing w:after="0" w:line="240" w:lineRule="auto"/>
        <w:jc w:val="both"/>
        <w:textAlignment w:val="baseline"/>
        <w:rPr>
          <w:rFonts w:eastAsia="Times New Roman"/>
          <w:color w:val="000000"/>
          <w:shd w:val="clear" w:color="auto" w:fill="FFFFFF"/>
          <w:lang w:eastAsia="en-GB"/>
        </w:rPr>
      </w:pPr>
      <w:r>
        <w:rPr>
          <w:rFonts w:eastAsia="Times New Roman"/>
          <w:color w:val="000000"/>
          <w:shd w:val="clear" w:color="auto" w:fill="FFFFFF"/>
          <w:lang w:eastAsia="en-GB"/>
        </w:rPr>
        <w:t>Services to install and deinstall wireless communication networks and other related items</w:t>
      </w:r>
    </w:p>
    <w:p w14:paraId="2AEE0845" w14:textId="77777777" w:rsidR="00C93F2B" w:rsidRDefault="00F01167">
      <w:pPr>
        <w:numPr>
          <w:ilvl w:val="1"/>
          <w:numId w:val="77"/>
        </w:numPr>
        <w:shd w:val="clear" w:color="auto" w:fill="FFFFFF"/>
        <w:spacing w:after="0" w:line="240" w:lineRule="auto"/>
        <w:jc w:val="both"/>
        <w:textAlignment w:val="baseline"/>
        <w:rPr>
          <w:rFonts w:eastAsia="Times New Roman"/>
          <w:color w:val="000000"/>
          <w:shd w:val="clear" w:color="auto" w:fill="FFFFFF"/>
          <w:lang w:eastAsia="en-GB"/>
        </w:rPr>
      </w:pPr>
      <w:r>
        <w:rPr>
          <w:rFonts w:eastAsia="Times New Roman"/>
          <w:color w:val="000000"/>
          <w:shd w:val="clear" w:color="auto" w:fill="FFFFFF"/>
          <w:lang w:eastAsia="en-GB"/>
        </w:rPr>
        <w:t>Services for the installation and deinstallation of cameras, CCTV system and other related items</w:t>
      </w:r>
    </w:p>
    <w:p w14:paraId="08C01204" w14:textId="77777777" w:rsidR="00C93F2B" w:rsidRDefault="00F01167">
      <w:pPr>
        <w:numPr>
          <w:ilvl w:val="1"/>
          <w:numId w:val="77"/>
        </w:numPr>
        <w:shd w:val="clear" w:color="auto" w:fill="FFFFFF"/>
        <w:spacing w:after="0" w:line="240" w:lineRule="auto"/>
        <w:jc w:val="both"/>
        <w:textAlignment w:val="baseline"/>
        <w:rPr>
          <w:rFonts w:eastAsia="Times New Roman"/>
          <w:color w:val="000000"/>
          <w:shd w:val="clear" w:color="auto" w:fill="FFFFFF"/>
          <w:lang w:eastAsia="en-GB"/>
        </w:rPr>
      </w:pPr>
      <w:r>
        <w:rPr>
          <w:rFonts w:eastAsia="Times New Roman"/>
          <w:color w:val="000000"/>
          <w:shd w:val="clear" w:color="auto" w:fill="FFFFFF"/>
          <w:lang w:eastAsia="en-GB"/>
        </w:rPr>
        <w:t>Other communications installations and services</w:t>
      </w:r>
    </w:p>
    <w:p w14:paraId="4B7FD9DA" w14:textId="77777777" w:rsidR="00C93F2B" w:rsidRDefault="00C93F2B">
      <w:pPr>
        <w:shd w:val="clear" w:color="auto" w:fill="FFFFFF"/>
        <w:spacing w:after="0" w:line="240" w:lineRule="auto"/>
        <w:ind w:left="1440"/>
        <w:jc w:val="both"/>
        <w:textAlignment w:val="baseline"/>
        <w:rPr>
          <w:rFonts w:eastAsia="Times New Roman"/>
          <w:color w:val="000000"/>
          <w:shd w:val="clear" w:color="auto" w:fill="FFFFFF"/>
          <w:lang w:eastAsia="en-GB"/>
        </w:rPr>
      </w:pPr>
    </w:p>
    <w:p w14:paraId="02D55518" w14:textId="77777777" w:rsidR="00C93F2B" w:rsidRDefault="00F01167">
      <w:pPr>
        <w:numPr>
          <w:ilvl w:val="0"/>
          <w:numId w:val="73"/>
        </w:numPr>
        <w:spacing w:after="0" w:line="240" w:lineRule="auto"/>
        <w:jc w:val="both"/>
        <w:textAlignment w:val="baseline"/>
        <w:rPr>
          <w:rFonts w:eastAsia="Times New Roman"/>
          <w:color w:val="000000"/>
          <w:lang w:eastAsia="en-GB"/>
        </w:rPr>
      </w:pPr>
      <w:r>
        <w:rPr>
          <w:rFonts w:eastAsia="Times New Roman"/>
          <w:color w:val="000000"/>
          <w:lang w:eastAsia="en-GB"/>
        </w:rPr>
        <w:t>Standard Modifications</w:t>
      </w:r>
    </w:p>
    <w:p w14:paraId="4D2E257A" w14:textId="77777777" w:rsidR="00C93F2B" w:rsidRDefault="00F01167">
      <w:pPr>
        <w:numPr>
          <w:ilvl w:val="1"/>
          <w:numId w:val="77"/>
        </w:numPr>
        <w:shd w:val="clear" w:color="auto" w:fill="FFFFFF"/>
        <w:spacing w:after="0" w:line="240" w:lineRule="auto"/>
        <w:jc w:val="both"/>
        <w:textAlignment w:val="baseline"/>
        <w:rPr>
          <w:rFonts w:eastAsia="Times New Roman"/>
          <w:color w:val="000000"/>
          <w:shd w:val="clear" w:color="auto" w:fill="FFFFFF"/>
          <w:lang w:eastAsia="en-GB"/>
        </w:rPr>
      </w:pPr>
      <w:r>
        <w:rPr>
          <w:rFonts w:eastAsia="Times New Roman"/>
          <w:color w:val="000000"/>
          <w:shd w:val="clear" w:color="auto" w:fill="FFFFFF"/>
          <w:lang w:eastAsia="en-GB"/>
        </w:rPr>
        <w:t>Modifications to include racking, lockers, cupboards, bulkheads, lining and other storage items</w:t>
      </w:r>
    </w:p>
    <w:p w14:paraId="7E609628" w14:textId="77777777" w:rsidR="00C93F2B" w:rsidRDefault="00F01167">
      <w:pPr>
        <w:numPr>
          <w:ilvl w:val="1"/>
          <w:numId w:val="77"/>
        </w:numPr>
        <w:shd w:val="clear" w:color="auto" w:fill="FFFFFF"/>
        <w:spacing w:after="0" w:line="240" w:lineRule="auto"/>
        <w:jc w:val="both"/>
        <w:textAlignment w:val="baseline"/>
        <w:rPr>
          <w:rFonts w:eastAsia="Times New Roman"/>
          <w:color w:val="000000"/>
          <w:shd w:val="clear" w:color="auto" w:fill="FFFFFF"/>
          <w:lang w:eastAsia="en-GB"/>
        </w:rPr>
      </w:pPr>
      <w:r>
        <w:rPr>
          <w:rFonts w:eastAsia="Times New Roman"/>
          <w:color w:val="000000"/>
          <w:shd w:val="clear" w:color="auto" w:fill="FFFFFF"/>
          <w:lang w:eastAsia="en-GB"/>
        </w:rPr>
        <w:t>Modifications to glazing including privacy glass, blinds and other glazing items</w:t>
      </w:r>
    </w:p>
    <w:p w14:paraId="5A6D6F65" w14:textId="77777777" w:rsidR="00C93F2B" w:rsidRDefault="00F01167">
      <w:pPr>
        <w:numPr>
          <w:ilvl w:val="1"/>
          <w:numId w:val="77"/>
        </w:numPr>
        <w:shd w:val="clear" w:color="auto" w:fill="FFFFFF"/>
        <w:spacing w:after="0" w:line="240" w:lineRule="auto"/>
        <w:jc w:val="both"/>
        <w:textAlignment w:val="baseline"/>
        <w:rPr>
          <w:rFonts w:eastAsia="Times New Roman"/>
          <w:color w:val="000000"/>
          <w:shd w:val="clear" w:color="auto" w:fill="FFFFFF"/>
          <w:lang w:eastAsia="en-GB"/>
        </w:rPr>
      </w:pPr>
      <w:r>
        <w:rPr>
          <w:rFonts w:eastAsia="Times New Roman"/>
          <w:color w:val="000000"/>
          <w:shd w:val="clear" w:color="auto" w:fill="FFFFFF"/>
          <w:lang w:eastAsia="en-GB"/>
        </w:rPr>
        <w:t>Modifications to provide external storage fixture options, such as ladder loading, roof racks, glass racks and other related items</w:t>
      </w:r>
    </w:p>
    <w:p w14:paraId="33576111" w14:textId="77777777" w:rsidR="00C93F2B" w:rsidRDefault="00F01167">
      <w:pPr>
        <w:numPr>
          <w:ilvl w:val="1"/>
          <w:numId w:val="77"/>
        </w:numPr>
        <w:shd w:val="clear" w:color="auto" w:fill="FFFFFF"/>
        <w:spacing w:after="0" w:line="240" w:lineRule="auto"/>
        <w:jc w:val="both"/>
        <w:textAlignment w:val="baseline"/>
        <w:rPr>
          <w:rFonts w:eastAsia="Times New Roman"/>
          <w:color w:val="000000"/>
          <w:shd w:val="clear" w:color="auto" w:fill="FFFFFF"/>
          <w:lang w:eastAsia="en-GB"/>
        </w:rPr>
      </w:pPr>
      <w:r>
        <w:rPr>
          <w:rFonts w:eastAsia="Times New Roman"/>
          <w:color w:val="000000"/>
          <w:shd w:val="clear" w:color="auto" w:fill="FFFFFF"/>
          <w:lang w:eastAsia="en-GB"/>
        </w:rPr>
        <w:t>Towing equipment</w:t>
      </w:r>
    </w:p>
    <w:p w14:paraId="3A3387D1" w14:textId="77777777" w:rsidR="00C93F2B" w:rsidRDefault="00F01167">
      <w:pPr>
        <w:numPr>
          <w:ilvl w:val="1"/>
          <w:numId w:val="77"/>
        </w:numPr>
        <w:shd w:val="clear" w:color="auto" w:fill="FFFFFF"/>
        <w:spacing w:after="0" w:line="240" w:lineRule="auto"/>
        <w:jc w:val="both"/>
        <w:textAlignment w:val="baseline"/>
        <w:rPr>
          <w:rFonts w:eastAsia="Times New Roman"/>
          <w:color w:val="000000"/>
          <w:shd w:val="clear" w:color="auto" w:fill="FFFFFF"/>
          <w:lang w:eastAsia="en-GB"/>
        </w:rPr>
      </w:pPr>
      <w:r>
        <w:rPr>
          <w:rFonts w:eastAsia="Times New Roman"/>
          <w:color w:val="000000"/>
          <w:shd w:val="clear" w:color="auto" w:fill="FFFFFF"/>
          <w:lang w:eastAsia="en-GB"/>
        </w:rPr>
        <w:t>Security installation and deinstallations including immobilisers and alarms, door lock protectors, catalytic converter protectors, tool/equipment vaults and other secure storage and other related items, Run Lock Systems, deadlocks and slamlocks</w:t>
      </w:r>
    </w:p>
    <w:p w14:paraId="65EE3111" w14:textId="77777777" w:rsidR="00C93F2B" w:rsidRDefault="00F01167">
      <w:pPr>
        <w:shd w:val="clear" w:color="auto" w:fill="FFFFFF"/>
        <w:spacing w:after="0" w:line="240" w:lineRule="auto"/>
        <w:ind w:left="2520"/>
        <w:jc w:val="both"/>
        <w:textAlignment w:val="baseline"/>
        <w:rPr>
          <w:rFonts w:eastAsia="Times New Roman"/>
          <w:color w:val="000000"/>
          <w:lang w:eastAsia="en-GB"/>
        </w:rPr>
      </w:pPr>
      <w:r>
        <w:rPr>
          <w:rFonts w:eastAsia="Times New Roman"/>
          <w:color w:val="000000"/>
          <w:lang w:eastAsia="en-GB"/>
        </w:rPr>
        <w:t> </w:t>
      </w:r>
    </w:p>
    <w:p w14:paraId="7DDD58B3" w14:textId="77777777" w:rsidR="00C93F2B" w:rsidRDefault="00F01167">
      <w:pPr>
        <w:numPr>
          <w:ilvl w:val="0"/>
          <w:numId w:val="73"/>
        </w:numPr>
        <w:spacing w:after="0" w:line="240" w:lineRule="auto"/>
        <w:jc w:val="both"/>
        <w:textAlignment w:val="baseline"/>
        <w:rPr>
          <w:rFonts w:eastAsia="Times New Roman"/>
          <w:color w:val="000000"/>
          <w:lang w:eastAsia="en-GB"/>
        </w:rPr>
      </w:pPr>
      <w:r>
        <w:rPr>
          <w:rFonts w:eastAsia="Times New Roman"/>
          <w:color w:val="000000"/>
          <w:lang w:eastAsia="en-GB"/>
        </w:rPr>
        <w:t>Specialist Modifications</w:t>
      </w:r>
    </w:p>
    <w:p w14:paraId="35C89824" w14:textId="77777777" w:rsidR="001E0052" w:rsidRPr="001E0052" w:rsidRDefault="001E0052" w:rsidP="001E0052">
      <w:pPr>
        <w:shd w:val="clear" w:color="auto" w:fill="FFFFFF"/>
        <w:spacing w:after="0" w:line="240" w:lineRule="auto"/>
        <w:ind w:left="1418" w:hanging="284"/>
        <w:rPr>
          <w:rFonts w:eastAsia="Times New Roman"/>
          <w:color w:val="222222"/>
          <w:lang w:eastAsia="en-GB"/>
        </w:rPr>
      </w:pPr>
      <w:r w:rsidRPr="001E0052">
        <w:rPr>
          <w:rFonts w:eastAsia="Times New Roman"/>
          <w:color w:val="222222"/>
          <w:lang w:eastAsia="en-GB"/>
        </w:rPr>
        <w:t>- Specialist Electrical for Emergency Services Network (ESN)</w:t>
      </w:r>
    </w:p>
    <w:p w14:paraId="6B816BAD" w14:textId="1ADEAF4F" w:rsidR="001E0052" w:rsidRPr="001E0052" w:rsidRDefault="001E0052" w:rsidP="001E0052">
      <w:pPr>
        <w:pStyle w:val="ListParagraph"/>
        <w:numPr>
          <w:ilvl w:val="2"/>
          <w:numId w:val="75"/>
        </w:numPr>
        <w:shd w:val="clear" w:color="auto" w:fill="FFFFFF"/>
        <w:spacing w:after="0" w:line="240" w:lineRule="auto"/>
        <w:rPr>
          <w:rFonts w:eastAsia="Times New Roman"/>
          <w:color w:val="222222"/>
          <w:lang w:eastAsia="en-GB"/>
        </w:rPr>
      </w:pPr>
      <w:r w:rsidRPr="001E0052">
        <w:rPr>
          <w:rFonts w:eastAsia="Times New Roman"/>
          <w:color w:val="222222"/>
          <w:lang w:eastAsia="en-GB"/>
        </w:rPr>
        <w:t>Installation only of emergency service specialist equipment including communication systems and associated ancillaries</w:t>
      </w:r>
    </w:p>
    <w:p w14:paraId="5F0CBA71" w14:textId="2ACE7EA3" w:rsidR="001E0052" w:rsidRPr="001E0052" w:rsidRDefault="001E0052" w:rsidP="001E0052">
      <w:pPr>
        <w:pStyle w:val="ListParagraph"/>
        <w:numPr>
          <w:ilvl w:val="2"/>
          <w:numId w:val="75"/>
        </w:numPr>
        <w:shd w:val="clear" w:color="auto" w:fill="FFFFFF"/>
        <w:spacing w:after="0" w:line="240" w:lineRule="auto"/>
        <w:rPr>
          <w:rFonts w:eastAsia="Times New Roman"/>
          <w:color w:val="222222"/>
          <w:lang w:eastAsia="en-GB"/>
        </w:rPr>
      </w:pPr>
      <w:r w:rsidRPr="001E0052">
        <w:rPr>
          <w:rFonts w:eastAsia="Times New Roman"/>
          <w:color w:val="222222"/>
          <w:lang w:eastAsia="en-GB"/>
        </w:rPr>
        <w:t>Fully Managed vehicle equipping service for specialist equipment, including installation and design</w:t>
      </w:r>
    </w:p>
    <w:p w14:paraId="06595ECA" w14:textId="11BD9E97" w:rsidR="001E0052" w:rsidRPr="001E0052" w:rsidRDefault="001E0052" w:rsidP="001E0052">
      <w:pPr>
        <w:pStyle w:val="ListParagraph"/>
        <w:numPr>
          <w:ilvl w:val="2"/>
          <w:numId w:val="75"/>
        </w:numPr>
        <w:shd w:val="clear" w:color="auto" w:fill="FFFFFF"/>
        <w:spacing w:after="0" w:line="240" w:lineRule="auto"/>
        <w:rPr>
          <w:rFonts w:eastAsia="Times New Roman"/>
          <w:color w:val="222222"/>
          <w:lang w:eastAsia="en-GB"/>
        </w:rPr>
      </w:pPr>
      <w:r w:rsidRPr="001E0052">
        <w:rPr>
          <w:rFonts w:eastAsia="Times New Roman"/>
          <w:color w:val="222222"/>
          <w:lang w:eastAsia="en-GB"/>
        </w:rPr>
        <w:t>Maintenance Services of in-service vehicle mounted specialist equipment, including the management and operation of a mobile service for repair/ maintenance</w:t>
      </w:r>
    </w:p>
    <w:p w14:paraId="2D9627C7" w14:textId="0127F4FD" w:rsidR="001E0052" w:rsidRPr="001E0052" w:rsidRDefault="001E0052" w:rsidP="001E0052">
      <w:pPr>
        <w:pStyle w:val="ListParagraph"/>
        <w:numPr>
          <w:ilvl w:val="2"/>
          <w:numId w:val="75"/>
        </w:numPr>
        <w:shd w:val="clear" w:color="auto" w:fill="FFFFFF"/>
        <w:spacing w:after="0" w:line="240" w:lineRule="auto"/>
        <w:rPr>
          <w:rFonts w:eastAsia="Times New Roman"/>
          <w:color w:val="222222"/>
          <w:lang w:eastAsia="en-GB"/>
        </w:rPr>
      </w:pPr>
      <w:r w:rsidRPr="001E0052">
        <w:rPr>
          <w:rFonts w:eastAsia="Times New Roman"/>
          <w:color w:val="222222"/>
          <w:lang w:eastAsia="en-GB"/>
        </w:rPr>
        <w:t>FCS 1362 Communication Installation engineer’s standard</w:t>
      </w:r>
    </w:p>
    <w:p w14:paraId="7480C033" w14:textId="7315C739" w:rsidR="001E0052" w:rsidRPr="001E0052" w:rsidRDefault="001E0052" w:rsidP="001E0052">
      <w:pPr>
        <w:pStyle w:val="ListParagraph"/>
        <w:numPr>
          <w:ilvl w:val="2"/>
          <w:numId w:val="75"/>
        </w:numPr>
        <w:shd w:val="clear" w:color="auto" w:fill="FFFFFF"/>
        <w:spacing w:after="0" w:line="240" w:lineRule="auto"/>
        <w:rPr>
          <w:rFonts w:eastAsia="Times New Roman"/>
          <w:color w:val="222222"/>
          <w:lang w:eastAsia="en-GB"/>
        </w:rPr>
      </w:pPr>
      <w:r w:rsidRPr="001E0052">
        <w:rPr>
          <w:rFonts w:eastAsia="Times New Roman"/>
          <w:color w:val="222222"/>
          <w:lang w:eastAsia="en-GB"/>
        </w:rPr>
        <w:t>Deinstallation and decommissioning of existing ESN equipment</w:t>
      </w:r>
    </w:p>
    <w:p w14:paraId="0A5A6C9A" w14:textId="0A4742A4" w:rsidR="001E0052" w:rsidRPr="001E0052" w:rsidRDefault="001E0052" w:rsidP="001E0052">
      <w:pPr>
        <w:pStyle w:val="ListParagraph"/>
        <w:numPr>
          <w:ilvl w:val="2"/>
          <w:numId w:val="75"/>
        </w:numPr>
        <w:shd w:val="clear" w:color="auto" w:fill="FFFFFF"/>
        <w:spacing w:after="0" w:line="240" w:lineRule="auto"/>
        <w:rPr>
          <w:rFonts w:eastAsia="Times New Roman"/>
          <w:color w:val="222222"/>
          <w:lang w:eastAsia="en-GB"/>
        </w:rPr>
      </w:pPr>
      <w:r w:rsidRPr="001E0052">
        <w:rPr>
          <w:rFonts w:eastAsia="Times New Roman"/>
          <w:color w:val="222222"/>
          <w:lang w:eastAsia="en-GB"/>
        </w:rPr>
        <w:t>Other ESN services</w:t>
      </w:r>
    </w:p>
    <w:p w14:paraId="53A2B06D" w14:textId="77777777" w:rsidR="001E0052" w:rsidRDefault="001E0052" w:rsidP="001E0052">
      <w:pPr>
        <w:spacing w:after="0" w:line="240" w:lineRule="auto"/>
        <w:jc w:val="both"/>
        <w:textAlignment w:val="baseline"/>
        <w:rPr>
          <w:rFonts w:eastAsia="Times New Roman"/>
          <w:color w:val="000000"/>
          <w:lang w:eastAsia="en-GB"/>
        </w:rPr>
      </w:pPr>
    </w:p>
    <w:p w14:paraId="11850DB0" w14:textId="77777777" w:rsidR="00C93F2B" w:rsidRDefault="00F01167">
      <w:pPr>
        <w:numPr>
          <w:ilvl w:val="0"/>
          <w:numId w:val="73"/>
        </w:numPr>
        <w:spacing w:after="0" w:line="240" w:lineRule="auto"/>
        <w:jc w:val="both"/>
        <w:textAlignment w:val="baseline"/>
        <w:rPr>
          <w:rFonts w:eastAsia="Times New Roman"/>
          <w:color w:val="000000"/>
          <w:lang w:eastAsia="en-GB"/>
        </w:rPr>
      </w:pPr>
      <w:r>
        <w:rPr>
          <w:rFonts w:eastAsia="Times New Roman"/>
          <w:color w:val="000000"/>
          <w:shd w:val="clear" w:color="auto" w:fill="FFFFFF"/>
          <w:lang w:eastAsia="en-GB"/>
        </w:rPr>
        <w:t>Welfare Facilities</w:t>
      </w:r>
    </w:p>
    <w:p w14:paraId="386ACB5D" w14:textId="77777777" w:rsidR="00C93F2B" w:rsidRDefault="00F01167">
      <w:pPr>
        <w:numPr>
          <w:ilvl w:val="1"/>
          <w:numId w:val="77"/>
        </w:numPr>
        <w:shd w:val="clear" w:color="auto" w:fill="FFFFFF"/>
        <w:spacing w:after="0" w:line="240" w:lineRule="auto"/>
        <w:jc w:val="both"/>
        <w:textAlignment w:val="baseline"/>
        <w:rPr>
          <w:rFonts w:eastAsia="Times New Roman"/>
          <w:color w:val="000000"/>
          <w:shd w:val="clear" w:color="auto" w:fill="FFFFFF"/>
          <w:lang w:eastAsia="en-GB"/>
        </w:rPr>
      </w:pPr>
      <w:r>
        <w:rPr>
          <w:rFonts w:eastAsia="Times New Roman"/>
          <w:color w:val="000000"/>
          <w:shd w:val="clear" w:color="auto" w:fill="FFFFFF"/>
          <w:lang w:eastAsia="en-GB"/>
        </w:rPr>
        <w:t>Services for installation and deinstallation to include hot water, toilets, washing, rest spaces, catering and other facilities</w:t>
      </w:r>
    </w:p>
    <w:p w14:paraId="740891FD" w14:textId="77777777" w:rsidR="00C93F2B" w:rsidRDefault="00F01167">
      <w:pPr>
        <w:numPr>
          <w:ilvl w:val="1"/>
          <w:numId w:val="77"/>
        </w:numPr>
        <w:shd w:val="clear" w:color="auto" w:fill="FFFFFF"/>
        <w:spacing w:after="0" w:line="240" w:lineRule="auto"/>
        <w:jc w:val="both"/>
        <w:textAlignment w:val="baseline"/>
        <w:rPr>
          <w:rFonts w:eastAsia="Times New Roman"/>
          <w:color w:val="000000"/>
          <w:shd w:val="clear" w:color="auto" w:fill="FFFFFF"/>
          <w:lang w:eastAsia="en-GB"/>
        </w:rPr>
      </w:pPr>
      <w:r>
        <w:rPr>
          <w:rFonts w:eastAsia="Times New Roman"/>
          <w:color w:val="000000"/>
          <w:shd w:val="clear" w:color="auto" w:fill="FFFFFF"/>
          <w:lang w:eastAsia="en-GB"/>
        </w:rPr>
        <w:t>Other welfare facilities</w:t>
      </w:r>
    </w:p>
    <w:p w14:paraId="07D583A3" w14:textId="77777777" w:rsidR="00C93F2B" w:rsidRDefault="00C93F2B">
      <w:pPr>
        <w:shd w:val="clear" w:color="auto" w:fill="FFFFFF"/>
        <w:spacing w:after="0" w:line="240" w:lineRule="auto"/>
        <w:ind w:left="1440"/>
        <w:jc w:val="both"/>
        <w:textAlignment w:val="baseline"/>
        <w:rPr>
          <w:rFonts w:eastAsia="Times New Roman"/>
          <w:color w:val="000000"/>
          <w:shd w:val="clear" w:color="auto" w:fill="FFFFFF"/>
          <w:lang w:eastAsia="en-GB"/>
        </w:rPr>
      </w:pPr>
    </w:p>
    <w:p w14:paraId="6792ECB6" w14:textId="77777777" w:rsidR="00C93F2B" w:rsidRDefault="00F01167">
      <w:pPr>
        <w:numPr>
          <w:ilvl w:val="0"/>
          <w:numId w:val="73"/>
        </w:numPr>
        <w:spacing w:after="0" w:line="240" w:lineRule="auto"/>
        <w:jc w:val="both"/>
        <w:textAlignment w:val="baseline"/>
        <w:rPr>
          <w:rFonts w:eastAsia="Times New Roman"/>
          <w:color w:val="000000"/>
          <w:lang w:eastAsia="en-GB"/>
        </w:rPr>
      </w:pPr>
      <w:r>
        <w:rPr>
          <w:rFonts w:eastAsia="Times New Roman"/>
          <w:color w:val="000000"/>
          <w:shd w:val="clear" w:color="auto" w:fill="FFFFFF"/>
          <w:lang w:eastAsia="en-GB"/>
        </w:rPr>
        <w:lastRenderedPageBreak/>
        <w:t>Accessibility Modifications</w:t>
      </w:r>
    </w:p>
    <w:p w14:paraId="0A8FEA6C" w14:textId="77777777" w:rsidR="00C93F2B" w:rsidRDefault="00F01167">
      <w:pPr>
        <w:numPr>
          <w:ilvl w:val="1"/>
          <w:numId w:val="77"/>
        </w:numPr>
        <w:shd w:val="clear" w:color="auto" w:fill="FFFFFF"/>
        <w:spacing w:after="0" w:line="240" w:lineRule="auto"/>
        <w:jc w:val="both"/>
        <w:textAlignment w:val="baseline"/>
        <w:rPr>
          <w:rFonts w:eastAsia="Times New Roman"/>
          <w:color w:val="000000"/>
          <w:shd w:val="clear" w:color="auto" w:fill="FFFFFF"/>
          <w:lang w:eastAsia="en-GB"/>
        </w:rPr>
      </w:pPr>
      <w:r>
        <w:rPr>
          <w:rFonts w:eastAsia="Times New Roman"/>
          <w:color w:val="000000"/>
          <w:shd w:val="clear" w:color="auto" w:fill="FFFFFF"/>
          <w:lang w:eastAsia="en-GB"/>
        </w:rPr>
        <w:t>Services for accessibility modifications including powered and manual ramps and lifts, safety steps, rails, hoists and platforms, wheelchair accessible and other related services</w:t>
      </w:r>
    </w:p>
    <w:p w14:paraId="4E20DEB7" w14:textId="77777777" w:rsidR="00C93F2B" w:rsidRDefault="00F01167">
      <w:pPr>
        <w:numPr>
          <w:ilvl w:val="1"/>
          <w:numId w:val="77"/>
        </w:numPr>
        <w:shd w:val="clear" w:color="auto" w:fill="FFFFFF"/>
        <w:spacing w:after="0" w:line="240" w:lineRule="auto"/>
        <w:jc w:val="both"/>
        <w:textAlignment w:val="baseline"/>
        <w:rPr>
          <w:rFonts w:eastAsia="Times New Roman"/>
          <w:color w:val="000000"/>
          <w:shd w:val="clear" w:color="auto" w:fill="FFFFFF"/>
          <w:lang w:eastAsia="en-GB"/>
        </w:rPr>
      </w:pPr>
      <w:r>
        <w:rPr>
          <w:rFonts w:eastAsia="Times New Roman"/>
          <w:color w:val="000000"/>
          <w:shd w:val="clear" w:color="auto" w:fill="FFFFFF"/>
          <w:lang w:eastAsia="en-GB"/>
        </w:rPr>
        <w:t>Other accessibility modifications</w:t>
      </w:r>
    </w:p>
    <w:p w14:paraId="5E0CF622" w14:textId="77777777" w:rsidR="00C93F2B" w:rsidRDefault="00C93F2B">
      <w:pPr>
        <w:shd w:val="clear" w:color="auto" w:fill="FFFFFF"/>
        <w:spacing w:after="0" w:line="240" w:lineRule="auto"/>
        <w:ind w:left="1440"/>
        <w:jc w:val="both"/>
        <w:textAlignment w:val="baseline"/>
        <w:rPr>
          <w:rFonts w:eastAsia="Times New Roman"/>
          <w:color w:val="000000"/>
          <w:shd w:val="clear" w:color="auto" w:fill="FFFFFF"/>
          <w:lang w:eastAsia="en-GB"/>
        </w:rPr>
      </w:pPr>
    </w:p>
    <w:p w14:paraId="324B6685" w14:textId="77777777" w:rsidR="00C93F2B" w:rsidRDefault="00F01167">
      <w:pPr>
        <w:numPr>
          <w:ilvl w:val="0"/>
          <w:numId w:val="73"/>
        </w:numPr>
        <w:spacing w:after="0" w:line="240" w:lineRule="auto"/>
        <w:jc w:val="both"/>
        <w:textAlignment w:val="baseline"/>
        <w:rPr>
          <w:rFonts w:eastAsia="Times New Roman"/>
          <w:color w:val="000000"/>
          <w:lang w:eastAsia="en-GB"/>
        </w:rPr>
      </w:pPr>
      <w:r>
        <w:rPr>
          <w:rFonts w:eastAsia="Times New Roman"/>
          <w:color w:val="000000"/>
          <w:shd w:val="clear" w:color="auto" w:fill="FFFFFF"/>
          <w:lang w:eastAsia="en-GB"/>
        </w:rPr>
        <w:t>Heating, Cooling &amp; Ventilation</w:t>
      </w:r>
    </w:p>
    <w:p w14:paraId="11A8D2F0" w14:textId="77777777" w:rsidR="00C93F2B" w:rsidRDefault="00F01167">
      <w:pPr>
        <w:numPr>
          <w:ilvl w:val="1"/>
          <w:numId w:val="77"/>
        </w:numPr>
        <w:shd w:val="clear" w:color="auto" w:fill="FFFFFF"/>
        <w:spacing w:after="0" w:line="240" w:lineRule="auto"/>
        <w:jc w:val="both"/>
        <w:textAlignment w:val="baseline"/>
        <w:rPr>
          <w:rFonts w:eastAsia="Times New Roman"/>
          <w:color w:val="000000"/>
          <w:shd w:val="clear" w:color="auto" w:fill="FFFFFF"/>
          <w:lang w:eastAsia="en-GB"/>
        </w:rPr>
      </w:pPr>
      <w:r>
        <w:rPr>
          <w:rFonts w:eastAsia="Times New Roman"/>
          <w:color w:val="000000"/>
          <w:shd w:val="clear" w:color="auto" w:fill="FFFFFF"/>
          <w:lang w:eastAsia="en-GB"/>
        </w:rPr>
        <w:t>Services including installation, testing and deinstallation of air conditioning, ventilation units, refrigeration units/systems, independent heating units, climate control systems and other related items</w:t>
      </w:r>
    </w:p>
    <w:p w14:paraId="14B0F3C4" w14:textId="77777777" w:rsidR="00C93F2B" w:rsidRDefault="00F01167">
      <w:pPr>
        <w:numPr>
          <w:ilvl w:val="1"/>
          <w:numId w:val="77"/>
        </w:numPr>
        <w:shd w:val="clear" w:color="auto" w:fill="FFFFFF"/>
        <w:spacing w:after="0" w:line="240" w:lineRule="auto"/>
        <w:jc w:val="both"/>
        <w:textAlignment w:val="baseline"/>
        <w:rPr>
          <w:rFonts w:eastAsia="Times New Roman"/>
          <w:color w:val="000000"/>
          <w:shd w:val="clear" w:color="auto" w:fill="FFFFFF"/>
          <w:lang w:eastAsia="en-GB"/>
        </w:rPr>
      </w:pPr>
      <w:r>
        <w:rPr>
          <w:rFonts w:eastAsia="Times New Roman"/>
          <w:color w:val="000000"/>
          <w:shd w:val="clear" w:color="auto" w:fill="FFFFFF"/>
          <w:lang w:eastAsia="en-GB"/>
        </w:rPr>
        <w:t>Other heating, cooling &amp; ventilation</w:t>
      </w:r>
    </w:p>
    <w:p w14:paraId="638470FB" w14:textId="77777777" w:rsidR="00C93F2B" w:rsidRDefault="00C93F2B">
      <w:pPr>
        <w:shd w:val="clear" w:color="auto" w:fill="FFFFFF"/>
        <w:spacing w:after="0" w:line="240" w:lineRule="auto"/>
        <w:ind w:left="1440"/>
        <w:jc w:val="both"/>
        <w:textAlignment w:val="baseline"/>
        <w:rPr>
          <w:rFonts w:eastAsia="Times New Roman"/>
          <w:color w:val="000000"/>
          <w:shd w:val="clear" w:color="auto" w:fill="FFFFFF"/>
          <w:lang w:eastAsia="en-GB"/>
        </w:rPr>
      </w:pPr>
    </w:p>
    <w:p w14:paraId="6AEF31A9" w14:textId="77777777" w:rsidR="00C93F2B" w:rsidRDefault="00F01167">
      <w:pPr>
        <w:numPr>
          <w:ilvl w:val="0"/>
          <w:numId w:val="73"/>
        </w:numPr>
        <w:spacing w:after="0" w:line="240" w:lineRule="auto"/>
        <w:jc w:val="both"/>
        <w:textAlignment w:val="baseline"/>
        <w:rPr>
          <w:rFonts w:eastAsia="Times New Roman"/>
          <w:color w:val="000000"/>
          <w:lang w:eastAsia="en-GB"/>
        </w:rPr>
      </w:pPr>
      <w:r>
        <w:rPr>
          <w:rFonts w:eastAsia="Times New Roman"/>
          <w:color w:val="000000"/>
          <w:shd w:val="clear" w:color="auto" w:fill="FFFFFF"/>
          <w:lang w:eastAsia="en-GB"/>
        </w:rPr>
        <w:t>Utility, Drainage &amp; Jetting</w:t>
      </w:r>
    </w:p>
    <w:p w14:paraId="7551107C" w14:textId="77777777" w:rsidR="00C93F2B" w:rsidRDefault="00F01167">
      <w:pPr>
        <w:numPr>
          <w:ilvl w:val="1"/>
          <w:numId w:val="77"/>
        </w:numPr>
        <w:shd w:val="clear" w:color="auto" w:fill="FFFFFF"/>
        <w:spacing w:after="0" w:line="240" w:lineRule="auto"/>
        <w:jc w:val="both"/>
        <w:textAlignment w:val="baseline"/>
        <w:rPr>
          <w:rFonts w:eastAsia="Times New Roman"/>
          <w:color w:val="000000"/>
          <w:shd w:val="clear" w:color="auto" w:fill="FFFFFF"/>
          <w:lang w:eastAsia="en-GB"/>
        </w:rPr>
      </w:pPr>
      <w:r>
        <w:rPr>
          <w:rFonts w:eastAsia="Times New Roman"/>
          <w:color w:val="000000"/>
          <w:shd w:val="clear" w:color="auto" w:fill="FFFFFF"/>
          <w:lang w:eastAsia="en-GB"/>
        </w:rPr>
        <w:t>Services including installation and deinstallation of jetting, pumps, drainage equipment and other related items</w:t>
      </w:r>
    </w:p>
    <w:p w14:paraId="41F25B0F" w14:textId="77777777" w:rsidR="00C93F2B" w:rsidRDefault="00F01167">
      <w:pPr>
        <w:numPr>
          <w:ilvl w:val="1"/>
          <w:numId w:val="77"/>
        </w:numPr>
        <w:shd w:val="clear" w:color="auto" w:fill="FFFFFF"/>
        <w:spacing w:after="0" w:line="240" w:lineRule="auto"/>
        <w:jc w:val="both"/>
        <w:textAlignment w:val="baseline"/>
        <w:rPr>
          <w:rFonts w:eastAsia="Times New Roman"/>
          <w:color w:val="000000"/>
          <w:shd w:val="clear" w:color="auto" w:fill="FFFFFF"/>
          <w:lang w:eastAsia="en-GB"/>
        </w:rPr>
      </w:pPr>
      <w:r>
        <w:rPr>
          <w:rFonts w:eastAsia="Times New Roman"/>
          <w:color w:val="000000"/>
          <w:shd w:val="clear" w:color="auto" w:fill="FFFFFF"/>
          <w:lang w:eastAsia="en-GB"/>
        </w:rPr>
        <w:t>Other Utility, Drainage &amp; Jetting</w:t>
      </w:r>
    </w:p>
    <w:p w14:paraId="099C2B97" w14:textId="77777777" w:rsidR="00C93F2B" w:rsidRDefault="00C93F2B">
      <w:pPr>
        <w:shd w:val="clear" w:color="auto" w:fill="FFFFFF"/>
        <w:spacing w:after="0" w:line="240" w:lineRule="auto"/>
        <w:ind w:left="1440"/>
        <w:jc w:val="both"/>
        <w:textAlignment w:val="baseline"/>
        <w:rPr>
          <w:rFonts w:eastAsia="Times New Roman"/>
          <w:color w:val="000000"/>
          <w:shd w:val="clear" w:color="auto" w:fill="FFFFFF"/>
          <w:lang w:eastAsia="en-GB"/>
        </w:rPr>
      </w:pPr>
    </w:p>
    <w:p w14:paraId="4740EADD" w14:textId="77777777" w:rsidR="00C93F2B" w:rsidRDefault="00F01167">
      <w:pPr>
        <w:numPr>
          <w:ilvl w:val="0"/>
          <w:numId w:val="73"/>
        </w:numPr>
        <w:spacing w:after="0" w:line="240" w:lineRule="auto"/>
        <w:jc w:val="both"/>
        <w:textAlignment w:val="baseline"/>
        <w:rPr>
          <w:rFonts w:eastAsia="Times New Roman"/>
          <w:color w:val="000000"/>
          <w:lang w:eastAsia="en-GB"/>
        </w:rPr>
      </w:pPr>
      <w:r>
        <w:rPr>
          <w:rFonts w:eastAsia="Times New Roman"/>
          <w:color w:val="000000"/>
          <w:shd w:val="clear" w:color="auto" w:fill="FFFFFF"/>
          <w:lang w:eastAsia="en-GB"/>
        </w:rPr>
        <w:t>Waste Management, Streetscene and Grounds Maintenance</w:t>
      </w:r>
    </w:p>
    <w:p w14:paraId="207F042B" w14:textId="77777777" w:rsidR="00C93F2B" w:rsidRDefault="00F01167">
      <w:pPr>
        <w:numPr>
          <w:ilvl w:val="1"/>
          <w:numId w:val="77"/>
        </w:numPr>
        <w:shd w:val="clear" w:color="auto" w:fill="FFFFFF"/>
        <w:spacing w:after="0" w:line="240" w:lineRule="auto"/>
        <w:jc w:val="both"/>
        <w:textAlignment w:val="baseline"/>
        <w:rPr>
          <w:rFonts w:eastAsia="Times New Roman"/>
          <w:color w:val="000000"/>
          <w:shd w:val="clear" w:color="auto" w:fill="FFFFFF"/>
          <w:lang w:eastAsia="en-GB"/>
        </w:rPr>
      </w:pPr>
      <w:r>
        <w:rPr>
          <w:rFonts w:eastAsia="Times New Roman"/>
          <w:color w:val="000000"/>
          <w:shd w:val="clear" w:color="auto" w:fill="FFFFFF"/>
          <w:lang w:eastAsia="en-GB"/>
        </w:rPr>
        <w:t>Bin Lifters and Loaders</w:t>
      </w:r>
    </w:p>
    <w:p w14:paraId="43CF9DF8" w14:textId="77777777" w:rsidR="00C93F2B" w:rsidRDefault="00F01167">
      <w:pPr>
        <w:numPr>
          <w:ilvl w:val="1"/>
          <w:numId w:val="77"/>
        </w:numPr>
        <w:shd w:val="clear" w:color="auto" w:fill="FFFFFF"/>
        <w:spacing w:after="0" w:line="240" w:lineRule="auto"/>
        <w:jc w:val="both"/>
        <w:textAlignment w:val="baseline"/>
        <w:rPr>
          <w:rFonts w:eastAsia="Times New Roman"/>
          <w:color w:val="000000"/>
          <w:shd w:val="clear" w:color="auto" w:fill="FFFFFF"/>
          <w:lang w:eastAsia="en-GB"/>
        </w:rPr>
      </w:pPr>
      <w:r>
        <w:rPr>
          <w:rFonts w:eastAsia="Times New Roman"/>
          <w:color w:val="000000"/>
          <w:shd w:val="clear" w:color="auto" w:fill="FFFFFF"/>
          <w:lang w:eastAsia="en-GB"/>
        </w:rPr>
        <w:t>Dynamic Weighing Systems</w:t>
      </w:r>
    </w:p>
    <w:p w14:paraId="0EEBFD5A" w14:textId="77777777" w:rsidR="00C93F2B" w:rsidRDefault="00F01167">
      <w:pPr>
        <w:numPr>
          <w:ilvl w:val="1"/>
          <w:numId w:val="77"/>
        </w:numPr>
        <w:shd w:val="clear" w:color="auto" w:fill="FFFFFF"/>
        <w:spacing w:after="0" w:line="240" w:lineRule="auto"/>
        <w:jc w:val="both"/>
        <w:textAlignment w:val="baseline"/>
        <w:rPr>
          <w:rFonts w:eastAsia="Times New Roman"/>
          <w:color w:val="000000"/>
          <w:shd w:val="clear" w:color="auto" w:fill="FFFFFF"/>
          <w:lang w:eastAsia="en-GB"/>
        </w:rPr>
      </w:pPr>
      <w:r>
        <w:rPr>
          <w:rFonts w:eastAsia="Times New Roman"/>
          <w:color w:val="000000"/>
          <w:shd w:val="clear" w:color="auto" w:fill="FFFFFF"/>
          <w:lang w:eastAsia="en-GB"/>
        </w:rPr>
        <w:t>Underground/Above Ground Waste Collection</w:t>
      </w:r>
    </w:p>
    <w:p w14:paraId="0E631966" w14:textId="77777777" w:rsidR="00C93F2B" w:rsidRDefault="00F01167">
      <w:pPr>
        <w:numPr>
          <w:ilvl w:val="1"/>
          <w:numId w:val="77"/>
        </w:numPr>
        <w:shd w:val="clear" w:color="auto" w:fill="FFFFFF"/>
        <w:spacing w:after="0" w:line="240" w:lineRule="auto"/>
        <w:jc w:val="both"/>
        <w:textAlignment w:val="baseline"/>
        <w:rPr>
          <w:rFonts w:eastAsia="Times New Roman"/>
          <w:color w:val="000000"/>
          <w:shd w:val="clear" w:color="auto" w:fill="FFFFFF"/>
          <w:lang w:eastAsia="en-GB"/>
        </w:rPr>
      </w:pPr>
      <w:r>
        <w:rPr>
          <w:rFonts w:eastAsia="Times New Roman"/>
          <w:color w:val="000000"/>
          <w:shd w:val="clear" w:color="auto" w:fill="FFFFFF"/>
          <w:lang w:eastAsia="en-GB"/>
        </w:rPr>
        <w:t>Refuse collection vehicles</w:t>
      </w:r>
    </w:p>
    <w:p w14:paraId="0AD21E46" w14:textId="77777777" w:rsidR="00C93F2B" w:rsidRDefault="00F01167">
      <w:pPr>
        <w:numPr>
          <w:ilvl w:val="1"/>
          <w:numId w:val="77"/>
        </w:numPr>
        <w:shd w:val="clear" w:color="auto" w:fill="FFFFFF"/>
        <w:spacing w:after="0" w:line="240" w:lineRule="auto"/>
        <w:jc w:val="both"/>
        <w:textAlignment w:val="baseline"/>
        <w:rPr>
          <w:rFonts w:eastAsia="Times New Roman"/>
          <w:color w:val="000000"/>
          <w:shd w:val="clear" w:color="auto" w:fill="FFFFFF"/>
          <w:lang w:eastAsia="en-GB"/>
        </w:rPr>
      </w:pPr>
      <w:r>
        <w:rPr>
          <w:rFonts w:eastAsia="Times New Roman"/>
          <w:color w:val="000000"/>
          <w:shd w:val="clear" w:color="auto" w:fill="FFFFFF"/>
          <w:lang w:eastAsia="en-GB"/>
        </w:rPr>
        <w:t>Vehicle mounted cutters and mowers</w:t>
      </w:r>
    </w:p>
    <w:p w14:paraId="39E00A18" w14:textId="77777777" w:rsidR="00C93F2B" w:rsidRDefault="00F01167">
      <w:pPr>
        <w:numPr>
          <w:ilvl w:val="1"/>
          <w:numId w:val="77"/>
        </w:numPr>
        <w:shd w:val="clear" w:color="auto" w:fill="FFFFFF"/>
        <w:spacing w:after="0" w:line="240" w:lineRule="auto"/>
        <w:jc w:val="both"/>
        <w:textAlignment w:val="baseline"/>
        <w:rPr>
          <w:rFonts w:eastAsia="Times New Roman"/>
          <w:color w:val="000000"/>
          <w:shd w:val="clear" w:color="auto" w:fill="FFFFFF"/>
          <w:lang w:eastAsia="en-GB"/>
        </w:rPr>
      </w:pPr>
      <w:r>
        <w:rPr>
          <w:rFonts w:eastAsia="Times New Roman"/>
          <w:color w:val="000000"/>
          <w:shd w:val="clear" w:color="auto" w:fill="FFFFFF"/>
          <w:lang w:eastAsia="en-GB"/>
        </w:rPr>
        <w:t>Vehicle mounted spreaders and sprayers</w:t>
      </w:r>
    </w:p>
    <w:p w14:paraId="62F00A11" w14:textId="77777777" w:rsidR="00C93F2B" w:rsidRDefault="00F01167">
      <w:pPr>
        <w:numPr>
          <w:ilvl w:val="1"/>
          <w:numId w:val="77"/>
        </w:numPr>
        <w:shd w:val="clear" w:color="auto" w:fill="FFFFFF"/>
        <w:spacing w:after="0" w:line="240" w:lineRule="auto"/>
        <w:jc w:val="both"/>
        <w:textAlignment w:val="baseline"/>
        <w:rPr>
          <w:rFonts w:eastAsia="Times New Roman"/>
          <w:color w:val="000000"/>
          <w:shd w:val="clear" w:color="auto" w:fill="FFFFFF"/>
          <w:lang w:eastAsia="en-GB"/>
        </w:rPr>
      </w:pPr>
      <w:r>
        <w:rPr>
          <w:rFonts w:eastAsia="Times New Roman"/>
          <w:color w:val="000000"/>
          <w:shd w:val="clear" w:color="auto" w:fill="FFFFFF"/>
          <w:lang w:eastAsia="en-GB"/>
        </w:rPr>
        <w:t>Vehicle mounted wood chippers and shredders</w:t>
      </w:r>
    </w:p>
    <w:p w14:paraId="2DBF15BA" w14:textId="77777777" w:rsidR="00C93F2B" w:rsidRDefault="00F01167">
      <w:pPr>
        <w:numPr>
          <w:ilvl w:val="1"/>
          <w:numId w:val="77"/>
        </w:numPr>
        <w:shd w:val="clear" w:color="auto" w:fill="FFFFFF"/>
        <w:spacing w:after="0" w:line="240" w:lineRule="auto"/>
        <w:jc w:val="both"/>
        <w:textAlignment w:val="baseline"/>
        <w:rPr>
          <w:rFonts w:eastAsia="Times New Roman"/>
          <w:color w:val="000000"/>
          <w:shd w:val="clear" w:color="auto" w:fill="FFFFFF"/>
          <w:lang w:eastAsia="en-GB"/>
        </w:rPr>
      </w:pPr>
      <w:r>
        <w:rPr>
          <w:rFonts w:eastAsia="Times New Roman"/>
          <w:color w:val="000000"/>
          <w:shd w:val="clear" w:color="auto" w:fill="FFFFFF"/>
          <w:lang w:eastAsia="en-GB"/>
        </w:rPr>
        <w:t>Other Waste Management and Streetscene</w:t>
      </w:r>
    </w:p>
    <w:p w14:paraId="16B15B76" w14:textId="77777777" w:rsidR="00C93F2B" w:rsidRDefault="00C93F2B">
      <w:pPr>
        <w:shd w:val="clear" w:color="auto" w:fill="FFFFFF"/>
        <w:spacing w:after="0" w:line="240" w:lineRule="auto"/>
        <w:ind w:left="1440"/>
        <w:jc w:val="both"/>
        <w:textAlignment w:val="baseline"/>
        <w:rPr>
          <w:rFonts w:eastAsia="Times New Roman"/>
          <w:color w:val="000000"/>
          <w:shd w:val="clear" w:color="auto" w:fill="FFFFFF"/>
          <w:lang w:eastAsia="en-GB"/>
        </w:rPr>
      </w:pPr>
    </w:p>
    <w:p w14:paraId="2D0E7E02" w14:textId="77777777" w:rsidR="00C93F2B" w:rsidRDefault="00F01167">
      <w:pPr>
        <w:numPr>
          <w:ilvl w:val="0"/>
          <w:numId w:val="73"/>
        </w:numPr>
        <w:spacing w:after="0" w:line="240" w:lineRule="auto"/>
        <w:jc w:val="both"/>
        <w:textAlignment w:val="baseline"/>
        <w:rPr>
          <w:rFonts w:eastAsia="Times New Roman"/>
          <w:color w:val="000000"/>
          <w:shd w:val="clear" w:color="auto" w:fill="FFFFFF"/>
          <w:lang w:eastAsia="en-GB"/>
        </w:rPr>
      </w:pPr>
      <w:r>
        <w:rPr>
          <w:rFonts w:eastAsia="Times New Roman"/>
          <w:color w:val="000000"/>
          <w:shd w:val="clear" w:color="auto" w:fill="FFFFFF"/>
          <w:lang w:eastAsia="en-GB"/>
        </w:rPr>
        <w:t>Police, Traffic and Covert</w:t>
      </w:r>
    </w:p>
    <w:p w14:paraId="2004D8C9" w14:textId="77777777" w:rsidR="00C93F2B" w:rsidRDefault="00F01167">
      <w:pPr>
        <w:numPr>
          <w:ilvl w:val="1"/>
          <w:numId w:val="77"/>
        </w:numPr>
        <w:shd w:val="clear" w:color="auto" w:fill="FFFFFF"/>
        <w:spacing w:after="0" w:line="240" w:lineRule="auto"/>
        <w:jc w:val="both"/>
        <w:textAlignment w:val="baseline"/>
        <w:rPr>
          <w:rFonts w:eastAsia="Times New Roman"/>
          <w:color w:val="000000"/>
          <w:shd w:val="clear" w:color="auto" w:fill="FFFFFF"/>
          <w:lang w:eastAsia="en-GB"/>
        </w:rPr>
      </w:pPr>
      <w:r>
        <w:rPr>
          <w:rFonts w:eastAsia="Times New Roman"/>
          <w:color w:val="000000"/>
          <w:shd w:val="clear" w:color="auto" w:fill="FFFFFF"/>
          <w:lang w:eastAsia="en-GB"/>
        </w:rPr>
        <w:t>Traffic and response vehicles</w:t>
      </w:r>
    </w:p>
    <w:p w14:paraId="74FD6A7D" w14:textId="77777777" w:rsidR="00C93F2B" w:rsidRDefault="00F01167">
      <w:pPr>
        <w:numPr>
          <w:ilvl w:val="1"/>
          <w:numId w:val="77"/>
        </w:numPr>
        <w:shd w:val="clear" w:color="auto" w:fill="FFFFFF"/>
        <w:spacing w:after="0" w:line="240" w:lineRule="auto"/>
        <w:jc w:val="both"/>
        <w:textAlignment w:val="baseline"/>
        <w:rPr>
          <w:rFonts w:eastAsia="Times New Roman"/>
          <w:color w:val="000000"/>
          <w:shd w:val="clear" w:color="auto" w:fill="FFFFFF"/>
          <w:lang w:eastAsia="en-GB"/>
        </w:rPr>
      </w:pPr>
      <w:r>
        <w:rPr>
          <w:rFonts w:eastAsia="Times New Roman"/>
          <w:color w:val="000000"/>
          <w:shd w:val="clear" w:color="auto" w:fill="FFFFFF"/>
          <w:lang w:eastAsia="en-GB"/>
        </w:rPr>
        <w:t>Cell and beat vehicles</w:t>
      </w:r>
    </w:p>
    <w:p w14:paraId="38EB2496" w14:textId="77777777" w:rsidR="00C93F2B" w:rsidRDefault="00F01167">
      <w:pPr>
        <w:numPr>
          <w:ilvl w:val="1"/>
          <w:numId w:val="77"/>
        </w:numPr>
        <w:shd w:val="clear" w:color="auto" w:fill="FFFFFF"/>
        <w:spacing w:after="0" w:line="240" w:lineRule="auto"/>
        <w:jc w:val="both"/>
        <w:textAlignment w:val="baseline"/>
        <w:rPr>
          <w:rFonts w:eastAsia="Times New Roman"/>
          <w:color w:val="000000"/>
          <w:shd w:val="clear" w:color="auto" w:fill="FFFFFF"/>
          <w:lang w:eastAsia="en-GB"/>
        </w:rPr>
      </w:pPr>
      <w:r>
        <w:rPr>
          <w:rFonts w:eastAsia="Times New Roman"/>
          <w:color w:val="000000"/>
          <w:shd w:val="clear" w:color="auto" w:fill="FFFFFF"/>
          <w:lang w:eastAsia="en-GB"/>
        </w:rPr>
        <w:t>Prisoner transport vehicles</w:t>
      </w:r>
    </w:p>
    <w:p w14:paraId="2FE76CFA" w14:textId="77777777" w:rsidR="00C93F2B" w:rsidRDefault="00F01167">
      <w:pPr>
        <w:numPr>
          <w:ilvl w:val="1"/>
          <w:numId w:val="77"/>
        </w:numPr>
        <w:shd w:val="clear" w:color="auto" w:fill="FFFFFF"/>
        <w:spacing w:after="0" w:line="240" w:lineRule="auto"/>
        <w:jc w:val="both"/>
        <w:textAlignment w:val="baseline"/>
        <w:rPr>
          <w:rFonts w:eastAsia="Times New Roman"/>
          <w:color w:val="000000"/>
          <w:shd w:val="clear" w:color="auto" w:fill="FFFFFF"/>
          <w:lang w:eastAsia="en-GB"/>
        </w:rPr>
      </w:pPr>
      <w:r>
        <w:rPr>
          <w:rFonts w:eastAsia="Times New Roman"/>
          <w:color w:val="000000"/>
          <w:shd w:val="clear" w:color="auto" w:fill="FFFFFF"/>
          <w:lang w:eastAsia="en-GB"/>
        </w:rPr>
        <w:t>Armoured vehicles</w:t>
      </w:r>
    </w:p>
    <w:p w14:paraId="5C4C8E88" w14:textId="77777777" w:rsidR="00C93F2B" w:rsidRDefault="00F01167">
      <w:pPr>
        <w:numPr>
          <w:ilvl w:val="1"/>
          <w:numId w:val="77"/>
        </w:numPr>
        <w:shd w:val="clear" w:color="auto" w:fill="FFFFFF"/>
        <w:spacing w:after="0" w:line="240" w:lineRule="auto"/>
        <w:jc w:val="both"/>
        <w:textAlignment w:val="baseline"/>
        <w:rPr>
          <w:rFonts w:eastAsia="Times New Roman"/>
          <w:color w:val="000000"/>
          <w:shd w:val="clear" w:color="auto" w:fill="FFFFFF"/>
          <w:lang w:eastAsia="en-GB"/>
        </w:rPr>
      </w:pPr>
      <w:r>
        <w:rPr>
          <w:rFonts w:eastAsia="Times New Roman"/>
          <w:color w:val="000000"/>
          <w:shd w:val="clear" w:color="auto" w:fill="FFFFFF"/>
          <w:lang w:eastAsia="en-GB"/>
        </w:rPr>
        <w:t>Animal transport vehicles</w:t>
      </w:r>
    </w:p>
    <w:p w14:paraId="0004DDD6" w14:textId="77777777" w:rsidR="00C93F2B" w:rsidRDefault="00F01167">
      <w:pPr>
        <w:numPr>
          <w:ilvl w:val="1"/>
          <w:numId w:val="77"/>
        </w:numPr>
        <w:shd w:val="clear" w:color="auto" w:fill="FFFFFF"/>
        <w:spacing w:after="0" w:line="240" w:lineRule="auto"/>
        <w:jc w:val="both"/>
        <w:textAlignment w:val="baseline"/>
        <w:rPr>
          <w:rFonts w:eastAsia="Times New Roman"/>
          <w:color w:val="000000"/>
          <w:shd w:val="clear" w:color="auto" w:fill="FFFFFF"/>
          <w:lang w:eastAsia="en-GB"/>
        </w:rPr>
      </w:pPr>
      <w:r>
        <w:rPr>
          <w:rFonts w:eastAsia="Times New Roman"/>
          <w:color w:val="000000"/>
          <w:shd w:val="clear" w:color="auto" w:fill="FFFFFF"/>
          <w:lang w:eastAsia="en-GB"/>
        </w:rPr>
        <w:t>Vehicles for HART (Hazardous Area Response Team)</w:t>
      </w:r>
    </w:p>
    <w:p w14:paraId="55BF19D5" w14:textId="77777777" w:rsidR="00C93F2B" w:rsidRDefault="00F01167">
      <w:pPr>
        <w:numPr>
          <w:ilvl w:val="1"/>
          <w:numId w:val="77"/>
        </w:numPr>
        <w:shd w:val="clear" w:color="auto" w:fill="FFFFFF"/>
        <w:spacing w:after="0" w:line="240" w:lineRule="auto"/>
        <w:jc w:val="both"/>
        <w:textAlignment w:val="baseline"/>
        <w:rPr>
          <w:rFonts w:eastAsia="Times New Roman"/>
          <w:color w:val="000000"/>
          <w:shd w:val="clear" w:color="auto" w:fill="FFFFFF"/>
          <w:lang w:eastAsia="en-GB"/>
        </w:rPr>
      </w:pPr>
      <w:r>
        <w:rPr>
          <w:rFonts w:eastAsia="Times New Roman"/>
          <w:color w:val="000000"/>
          <w:shd w:val="clear" w:color="auto" w:fill="FFFFFF"/>
          <w:lang w:eastAsia="en-GB"/>
        </w:rPr>
        <w:t>Command &amp; control and incident support vehicles (including trailers)</w:t>
      </w:r>
    </w:p>
    <w:p w14:paraId="1F4ED7F9" w14:textId="77777777" w:rsidR="00C93F2B" w:rsidRDefault="00F01167">
      <w:pPr>
        <w:numPr>
          <w:ilvl w:val="1"/>
          <w:numId w:val="77"/>
        </w:numPr>
        <w:shd w:val="clear" w:color="auto" w:fill="FFFFFF"/>
        <w:spacing w:after="0" w:line="240" w:lineRule="auto"/>
        <w:jc w:val="both"/>
        <w:textAlignment w:val="baseline"/>
        <w:rPr>
          <w:rFonts w:eastAsia="Times New Roman"/>
          <w:color w:val="000000"/>
          <w:shd w:val="clear" w:color="auto" w:fill="FFFFFF"/>
          <w:lang w:eastAsia="en-GB"/>
        </w:rPr>
      </w:pPr>
      <w:r>
        <w:rPr>
          <w:rFonts w:eastAsia="Times New Roman"/>
          <w:color w:val="000000"/>
          <w:shd w:val="clear" w:color="auto" w:fill="FFFFFF"/>
          <w:lang w:eastAsia="en-GB"/>
        </w:rPr>
        <w:t>Services for the conversion of covert and high security vehicles</w:t>
      </w:r>
    </w:p>
    <w:p w14:paraId="2EC039C2" w14:textId="3BE274C5" w:rsidR="00C93F2B" w:rsidRDefault="00F01167">
      <w:pPr>
        <w:numPr>
          <w:ilvl w:val="1"/>
          <w:numId w:val="77"/>
        </w:numPr>
        <w:shd w:val="clear" w:color="auto" w:fill="FFFFFF"/>
        <w:spacing w:after="0" w:line="240" w:lineRule="auto"/>
        <w:jc w:val="both"/>
        <w:textAlignment w:val="baseline"/>
        <w:rPr>
          <w:rFonts w:eastAsia="Times New Roman"/>
          <w:color w:val="000000"/>
          <w:shd w:val="clear" w:color="auto" w:fill="FFFFFF"/>
          <w:lang w:eastAsia="en-GB"/>
        </w:rPr>
      </w:pPr>
      <w:r>
        <w:rPr>
          <w:rFonts w:eastAsia="Times New Roman"/>
          <w:color w:val="000000"/>
          <w:shd w:val="clear" w:color="auto" w:fill="FFFFFF"/>
          <w:lang w:eastAsia="en-GB"/>
        </w:rPr>
        <w:t>Services for the installation and de</w:t>
      </w:r>
      <w:r w:rsidR="00D87027">
        <w:rPr>
          <w:rFonts w:eastAsia="Times New Roman"/>
          <w:color w:val="000000"/>
          <w:shd w:val="clear" w:color="auto" w:fill="FFFFFF"/>
          <w:lang w:eastAsia="en-GB"/>
        </w:rPr>
        <w:t>-</w:t>
      </w:r>
      <w:r>
        <w:rPr>
          <w:rFonts w:eastAsia="Times New Roman"/>
          <w:color w:val="000000"/>
          <w:shd w:val="clear" w:color="auto" w:fill="FFFFFF"/>
          <w:lang w:eastAsia="en-GB"/>
        </w:rPr>
        <w:t>installation of public warning equipment and related services</w:t>
      </w:r>
    </w:p>
    <w:p w14:paraId="1F749A33" w14:textId="77777777" w:rsidR="00C93F2B" w:rsidRDefault="00F01167">
      <w:pPr>
        <w:numPr>
          <w:ilvl w:val="1"/>
          <w:numId w:val="77"/>
        </w:numPr>
        <w:shd w:val="clear" w:color="auto" w:fill="FFFFFF"/>
        <w:spacing w:after="0" w:line="240" w:lineRule="auto"/>
        <w:jc w:val="both"/>
        <w:textAlignment w:val="baseline"/>
        <w:rPr>
          <w:rFonts w:eastAsia="Times New Roman"/>
          <w:color w:val="000000"/>
          <w:shd w:val="clear" w:color="auto" w:fill="FFFFFF"/>
          <w:lang w:eastAsia="en-GB"/>
        </w:rPr>
      </w:pPr>
      <w:r>
        <w:rPr>
          <w:rFonts w:eastAsia="Times New Roman"/>
          <w:color w:val="000000"/>
          <w:shd w:val="clear" w:color="auto" w:fill="FFFFFF"/>
          <w:lang w:eastAsia="en-GB"/>
        </w:rPr>
        <w:t>Other Blue Light vehicles</w:t>
      </w:r>
    </w:p>
    <w:p w14:paraId="574C5E62" w14:textId="77777777" w:rsidR="00C93F2B" w:rsidRDefault="00C93F2B">
      <w:pPr>
        <w:shd w:val="clear" w:color="auto" w:fill="FFFFFF"/>
        <w:spacing w:after="0" w:line="240" w:lineRule="auto"/>
        <w:ind w:left="1440"/>
        <w:jc w:val="both"/>
        <w:textAlignment w:val="baseline"/>
        <w:rPr>
          <w:rFonts w:eastAsia="Times New Roman"/>
          <w:color w:val="000000"/>
          <w:shd w:val="clear" w:color="auto" w:fill="FFFFFF"/>
          <w:lang w:eastAsia="en-GB"/>
        </w:rPr>
      </w:pPr>
    </w:p>
    <w:p w14:paraId="27CDB6DC" w14:textId="77777777" w:rsidR="00C93F2B" w:rsidRDefault="00F01167">
      <w:pPr>
        <w:numPr>
          <w:ilvl w:val="0"/>
          <w:numId w:val="73"/>
        </w:numPr>
        <w:spacing w:after="0" w:line="240" w:lineRule="auto"/>
        <w:jc w:val="both"/>
        <w:textAlignment w:val="baseline"/>
        <w:rPr>
          <w:rFonts w:eastAsia="Times New Roman"/>
          <w:color w:val="000000"/>
          <w:lang w:eastAsia="en-GB"/>
        </w:rPr>
      </w:pPr>
      <w:r>
        <w:rPr>
          <w:rFonts w:eastAsia="Times New Roman"/>
          <w:color w:val="000000"/>
          <w:shd w:val="clear" w:color="auto" w:fill="FFFFFF"/>
          <w:lang w:eastAsia="en-GB"/>
        </w:rPr>
        <w:t>Medical Vehicles</w:t>
      </w:r>
    </w:p>
    <w:p w14:paraId="19ECE6EC" w14:textId="77777777" w:rsidR="00C93F2B" w:rsidRDefault="00F01167">
      <w:pPr>
        <w:numPr>
          <w:ilvl w:val="1"/>
          <w:numId w:val="77"/>
        </w:numPr>
        <w:shd w:val="clear" w:color="auto" w:fill="FFFFFF"/>
        <w:spacing w:after="0" w:line="240" w:lineRule="auto"/>
        <w:jc w:val="both"/>
        <w:textAlignment w:val="baseline"/>
        <w:rPr>
          <w:rFonts w:eastAsia="Times New Roman"/>
          <w:color w:val="000000"/>
          <w:shd w:val="clear" w:color="auto" w:fill="FFFFFF"/>
          <w:lang w:eastAsia="en-GB"/>
        </w:rPr>
      </w:pPr>
      <w:r>
        <w:rPr>
          <w:rFonts w:eastAsia="Times New Roman"/>
          <w:color w:val="000000"/>
          <w:shd w:val="clear" w:color="auto" w:fill="FFFFFF"/>
          <w:lang w:eastAsia="en-GB"/>
        </w:rPr>
        <w:t>A&amp;E Ambulances</w:t>
      </w:r>
    </w:p>
    <w:p w14:paraId="3063ACC6" w14:textId="77777777" w:rsidR="00C93F2B" w:rsidRDefault="00F01167">
      <w:pPr>
        <w:numPr>
          <w:ilvl w:val="1"/>
          <w:numId w:val="77"/>
        </w:numPr>
        <w:shd w:val="clear" w:color="auto" w:fill="FFFFFF"/>
        <w:spacing w:after="0" w:line="240" w:lineRule="auto"/>
        <w:jc w:val="both"/>
        <w:textAlignment w:val="baseline"/>
        <w:rPr>
          <w:rFonts w:eastAsia="Times New Roman"/>
          <w:color w:val="000000"/>
          <w:shd w:val="clear" w:color="auto" w:fill="FFFFFF"/>
          <w:lang w:eastAsia="en-GB"/>
        </w:rPr>
      </w:pPr>
      <w:r>
        <w:rPr>
          <w:rFonts w:eastAsia="Times New Roman"/>
          <w:color w:val="000000"/>
          <w:shd w:val="clear" w:color="auto" w:fill="FFFFFF"/>
          <w:lang w:eastAsia="en-GB"/>
        </w:rPr>
        <w:t>Patient Transport Services (PTS) vehicles</w:t>
      </w:r>
    </w:p>
    <w:p w14:paraId="7AE7F4E1" w14:textId="77777777" w:rsidR="00C93F2B" w:rsidRDefault="00F01167">
      <w:pPr>
        <w:numPr>
          <w:ilvl w:val="1"/>
          <w:numId w:val="77"/>
        </w:numPr>
        <w:shd w:val="clear" w:color="auto" w:fill="FFFFFF"/>
        <w:spacing w:after="0" w:line="240" w:lineRule="auto"/>
        <w:jc w:val="both"/>
        <w:textAlignment w:val="baseline"/>
        <w:rPr>
          <w:rFonts w:eastAsia="Times New Roman"/>
          <w:color w:val="000000"/>
          <w:shd w:val="clear" w:color="auto" w:fill="FFFFFF"/>
          <w:lang w:eastAsia="en-GB"/>
        </w:rPr>
      </w:pPr>
      <w:r>
        <w:rPr>
          <w:rFonts w:eastAsia="Times New Roman"/>
          <w:color w:val="000000"/>
          <w:shd w:val="clear" w:color="auto" w:fill="FFFFFF"/>
          <w:lang w:eastAsia="en-GB"/>
        </w:rPr>
        <w:t>Command and control vehicles</w:t>
      </w:r>
    </w:p>
    <w:p w14:paraId="2FAA4A7C" w14:textId="77777777" w:rsidR="00C93F2B" w:rsidRDefault="00F01167">
      <w:pPr>
        <w:numPr>
          <w:ilvl w:val="1"/>
          <w:numId w:val="77"/>
        </w:numPr>
        <w:shd w:val="clear" w:color="auto" w:fill="FFFFFF"/>
        <w:spacing w:after="0" w:line="240" w:lineRule="auto"/>
        <w:jc w:val="both"/>
        <w:textAlignment w:val="baseline"/>
        <w:rPr>
          <w:rFonts w:eastAsia="Times New Roman"/>
          <w:color w:val="000000"/>
          <w:shd w:val="clear" w:color="auto" w:fill="FFFFFF"/>
          <w:lang w:eastAsia="en-GB"/>
        </w:rPr>
      </w:pPr>
      <w:r>
        <w:rPr>
          <w:rFonts w:eastAsia="Times New Roman"/>
          <w:color w:val="000000"/>
          <w:shd w:val="clear" w:color="auto" w:fill="FFFFFF"/>
          <w:lang w:eastAsia="en-GB"/>
        </w:rPr>
        <w:t>Response vehicles</w:t>
      </w:r>
    </w:p>
    <w:p w14:paraId="32F83C82" w14:textId="77777777" w:rsidR="00C93F2B" w:rsidRDefault="00F01167">
      <w:pPr>
        <w:numPr>
          <w:ilvl w:val="1"/>
          <w:numId w:val="77"/>
        </w:numPr>
        <w:shd w:val="clear" w:color="auto" w:fill="FFFFFF"/>
        <w:spacing w:after="0" w:line="240" w:lineRule="auto"/>
        <w:jc w:val="both"/>
        <w:textAlignment w:val="baseline"/>
        <w:rPr>
          <w:rFonts w:eastAsia="Times New Roman"/>
          <w:color w:val="000000"/>
          <w:shd w:val="clear" w:color="auto" w:fill="FFFFFF"/>
          <w:lang w:eastAsia="en-GB"/>
        </w:rPr>
      </w:pPr>
      <w:r>
        <w:rPr>
          <w:rFonts w:eastAsia="Times New Roman"/>
          <w:color w:val="000000"/>
          <w:shd w:val="clear" w:color="auto" w:fill="FFFFFF"/>
          <w:lang w:eastAsia="en-GB"/>
        </w:rPr>
        <w:t>Screening &amp; Scanning units/fitments</w:t>
      </w:r>
    </w:p>
    <w:p w14:paraId="7836094F" w14:textId="77777777" w:rsidR="00C93F2B" w:rsidRDefault="00F01167">
      <w:pPr>
        <w:numPr>
          <w:ilvl w:val="1"/>
          <w:numId w:val="77"/>
        </w:numPr>
        <w:shd w:val="clear" w:color="auto" w:fill="FFFFFF"/>
        <w:spacing w:after="0" w:line="240" w:lineRule="auto"/>
        <w:jc w:val="both"/>
        <w:textAlignment w:val="baseline"/>
        <w:rPr>
          <w:rFonts w:eastAsia="Times New Roman"/>
          <w:color w:val="000000"/>
          <w:sz w:val="20"/>
          <w:szCs w:val="20"/>
          <w:lang w:eastAsia="en-GB"/>
        </w:rPr>
      </w:pPr>
      <w:r>
        <w:rPr>
          <w:rFonts w:eastAsia="Times New Roman"/>
          <w:color w:val="000000"/>
          <w:shd w:val="clear" w:color="auto" w:fill="FFFFFF"/>
          <w:lang w:eastAsia="en-GB"/>
        </w:rPr>
        <w:t>Other Medical vehicles</w:t>
      </w:r>
    </w:p>
    <w:p w14:paraId="4C1023D8" w14:textId="77777777" w:rsidR="00C93F2B" w:rsidRDefault="00C93F2B">
      <w:pPr>
        <w:shd w:val="clear" w:color="auto" w:fill="FFFFFF"/>
        <w:spacing w:after="0" w:line="240" w:lineRule="auto"/>
        <w:ind w:left="1440"/>
        <w:jc w:val="both"/>
        <w:textAlignment w:val="baseline"/>
        <w:rPr>
          <w:rFonts w:eastAsia="Times New Roman"/>
          <w:color w:val="000000"/>
          <w:sz w:val="20"/>
          <w:szCs w:val="20"/>
          <w:lang w:eastAsia="en-GB"/>
        </w:rPr>
      </w:pPr>
    </w:p>
    <w:p w14:paraId="223BF0F5" w14:textId="77777777" w:rsidR="00C93F2B" w:rsidRDefault="00F01167">
      <w:pPr>
        <w:numPr>
          <w:ilvl w:val="0"/>
          <w:numId w:val="73"/>
        </w:numPr>
        <w:spacing w:after="0" w:line="240" w:lineRule="auto"/>
        <w:jc w:val="both"/>
        <w:textAlignment w:val="baseline"/>
        <w:rPr>
          <w:rFonts w:eastAsia="Times New Roman"/>
          <w:color w:val="000000"/>
          <w:lang w:eastAsia="en-GB"/>
        </w:rPr>
      </w:pPr>
      <w:r>
        <w:rPr>
          <w:rFonts w:eastAsia="Times New Roman"/>
          <w:color w:val="000000"/>
          <w:shd w:val="clear" w:color="auto" w:fill="FFFFFF"/>
          <w:lang w:eastAsia="en-GB"/>
        </w:rPr>
        <w:t>Fire and Rescue</w:t>
      </w:r>
    </w:p>
    <w:p w14:paraId="7097B886" w14:textId="77777777" w:rsidR="00C93F2B" w:rsidRDefault="00F01167">
      <w:pPr>
        <w:numPr>
          <w:ilvl w:val="1"/>
          <w:numId w:val="77"/>
        </w:numPr>
        <w:shd w:val="clear" w:color="auto" w:fill="FFFFFF"/>
        <w:spacing w:after="0" w:line="240" w:lineRule="auto"/>
        <w:jc w:val="both"/>
        <w:textAlignment w:val="baseline"/>
        <w:rPr>
          <w:rFonts w:eastAsia="Times New Roman"/>
          <w:color w:val="000000"/>
          <w:shd w:val="clear" w:color="auto" w:fill="FFFFFF"/>
          <w:lang w:eastAsia="en-GB"/>
        </w:rPr>
      </w:pPr>
      <w:r>
        <w:rPr>
          <w:rFonts w:eastAsia="Times New Roman"/>
          <w:color w:val="000000"/>
          <w:shd w:val="clear" w:color="auto" w:fill="FFFFFF"/>
          <w:lang w:eastAsia="en-GB"/>
        </w:rPr>
        <w:t>Fire and Rescue support vehicles, excluding Fire Appliances</w:t>
      </w:r>
    </w:p>
    <w:p w14:paraId="078EDE80" w14:textId="77777777" w:rsidR="00C93F2B" w:rsidRDefault="00F01167">
      <w:pPr>
        <w:numPr>
          <w:ilvl w:val="1"/>
          <w:numId w:val="77"/>
        </w:numPr>
        <w:shd w:val="clear" w:color="auto" w:fill="FFFFFF"/>
        <w:spacing w:after="0" w:line="240" w:lineRule="auto"/>
        <w:jc w:val="both"/>
        <w:textAlignment w:val="baseline"/>
        <w:rPr>
          <w:rFonts w:eastAsia="Times New Roman"/>
          <w:color w:val="000000"/>
          <w:shd w:val="clear" w:color="auto" w:fill="FFFFFF"/>
          <w:lang w:eastAsia="en-GB"/>
        </w:rPr>
      </w:pPr>
      <w:r>
        <w:rPr>
          <w:rFonts w:eastAsia="Times New Roman"/>
          <w:color w:val="000000"/>
          <w:shd w:val="clear" w:color="auto" w:fill="FFFFFF"/>
          <w:lang w:eastAsia="en-GB"/>
        </w:rPr>
        <w:t>Other Fire &amp; Rescue conversions</w:t>
      </w:r>
    </w:p>
    <w:p w14:paraId="06A8BCEA" w14:textId="501746AC" w:rsidR="00C93F2B" w:rsidRDefault="00F01167" w:rsidP="001E0052">
      <w:pPr>
        <w:keepNext/>
        <w:keepLines/>
        <w:tabs>
          <w:tab w:val="left" w:pos="4040"/>
        </w:tabs>
        <w:spacing w:before="240" w:after="0"/>
        <w:outlineLvl w:val="0"/>
        <w:rPr>
          <w:b/>
        </w:rPr>
      </w:pPr>
      <w:r>
        <w:rPr>
          <w:b/>
          <w:sz w:val="32"/>
          <w:szCs w:val="32"/>
        </w:rPr>
        <w:lastRenderedPageBreak/>
        <w:t xml:space="preserve"> </w:t>
      </w:r>
      <w:bookmarkStart w:id="10" w:name="_Toc476517531"/>
      <w:bookmarkStart w:id="11" w:name="_Toc477271764"/>
      <w:bookmarkStart w:id="12" w:name="_Toc477281205"/>
      <w:bookmarkStart w:id="13" w:name="_Toc478324004"/>
      <w:bookmarkStart w:id="14" w:name="_Toc478334255"/>
      <w:bookmarkStart w:id="15" w:name="_Toc478376845"/>
      <w:bookmarkStart w:id="16" w:name="_Hlt362516481"/>
      <w:bookmarkStart w:id="17" w:name="_Hlt365627344"/>
      <w:bookmarkStart w:id="18" w:name="_Hlt365627374"/>
      <w:bookmarkStart w:id="19" w:name="_Hlt365648611"/>
      <w:bookmarkStart w:id="20" w:name="_Hlt359518577"/>
      <w:bookmarkStart w:id="21" w:name="_Hlt359518605"/>
      <w:bookmarkStart w:id="22" w:name="_Hlt359518616"/>
      <w:bookmarkStart w:id="23" w:name="_Hlt359518621"/>
      <w:bookmarkStart w:id="24" w:name="_Hlt359518625"/>
      <w:bookmarkStart w:id="25" w:name="_Hlt359518630"/>
      <w:bookmarkStart w:id="26" w:name="_Hlt359518591"/>
      <w:bookmarkStart w:id="27" w:name="_Hlt359518608"/>
      <w:bookmarkStart w:id="28" w:name="_Hlt359518611"/>
      <w:bookmarkStart w:id="29" w:name="_Hlt359518614"/>
      <w:bookmarkStart w:id="30" w:name="_Hlt359518618"/>
      <w:bookmarkStart w:id="31" w:name="_Hlt359518623"/>
      <w:bookmarkStart w:id="32" w:name="_Hlt359518628"/>
      <w:bookmarkStart w:id="33" w:name="_Hlt359518632"/>
      <w:bookmarkStart w:id="34" w:name="_Hlt359518640"/>
      <w:bookmarkStart w:id="35" w:name="_Hlt359518645"/>
      <w:bookmarkStart w:id="36" w:name="_Hlt359518668"/>
      <w:bookmarkStart w:id="37" w:name="_Hlt359518593"/>
      <w:bookmarkStart w:id="38" w:name="_Hlt359518596"/>
      <w:bookmarkStart w:id="39" w:name="_Hlt359518600"/>
      <w:bookmarkStart w:id="40" w:name="_Hlt359518654"/>
      <w:bookmarkStart w:id="41" w:name="_Hlt359518634"/>
      <w:bookmarkStart w:id="42" w:name="_Hlt359518637"/>
      <w:bookmarkStart w:id="43" w:name="_Hlt359518663"/>
      <w:bookmarkStart w:id="44" w:name="_Hlt358390397"/>
      <w:bookmarkStart w:id="45" w:name="_Hlt359518665"/>
      <w:bookmarkStart w:id="46" w:name="_Hlt359518670"/>
      <w:bookmarkStart w:id="47" w:name="_Hlt359518672"/>
      <w:bookmarkStart w:id="48" w:name="_Hlt360696975"/>
      <w:bookmarkStart w:id="49" w:name="_Hlt359343263"/>
      <w:bookmarkStart w:id="50" w:name="_Hlt359519055"/>
      <w:bookmarkStart w:id="51" w:name="_Hlt359519846"/>
      <w:bookmarkStart w:id="52" w:name="_Hlt365630092"/>
      <w:bookmarkStart w:id="53" w:name="_Hlt365648931"/>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12641282" w14:textId="501746AC" w:rsidR="00C93F2B" w:rsidRDefault="00F01167">
      <w:pPr>
        <w:jc w:val="center"/>
        <w:rPr>
          <w:b/>
        </w:rPr>
      </w:pPr>
      <w:r>
        <w:rPr>
          <w:b/>
        </w:rPr>
        <w:t>ANNEX B - Glossary</w:t>
      </w:r>
    </w:p>
    <w:tbl>
      <w:tblPr>
        <w:tblStyle w:val="TableGrid"/>
        <w:tblW w:w="0" w:type="auto"/>
        <w:tblLook w:val="04A0" w:firstRow="1" w:lastRow="0" w:firstColumn="1" w:lastColumn="0" w:noHBand="0" w:noVBand="1"/>
      </w:tblPr>
      <w:tblGrid>
        <w:gridCol w:w="4508"/>
        <w:gridCol w:w="4508"/>
      </w:tblGrid>
      <w:tr w:rsidR="00C93F2B" w14:paraId="071E5EE6" w14:textId="77777777">
        <w:tc>
          <w:tcPr>
            <w:tcW w:w="4508" w:type="dxa"/>
          </w:tcPr>
          <w:p w14:paraId="2426D33B" w14:textId="77777777" w:rsidR="00C93F2B" w:rsidRDefault="00F01167">
            <w:pPr>
              <w:tabs>
                <w:tab w:val="left" w:pos="920"/>
              </w:tabs>
              <w:rPr>
                <w:sz w:val="22"/>
                <w:szCs w:val="22"/>
              </w:rPr>
            </w:pPr>
            <w:r>
              <w:rPr>
                <w:sz w:val="22"/>
                <w:szCs w:val="22"/>
              </w:rPr>
              <w:t>Government Buying</w:t>
            </w:r>
          </w:p>
          <w:p w14:paraId="00823549" w14:textId="77777777" w:rsidR="00C93F2B" w:rsidRDefault="00F01167">
            <w:pPr>
              <w:tabs>
                <w:tab w:val="left" w:pos="920"/>
              </w:tabs>
              <w:rPr>
                <w:sz w:val="22"/>
                <w:szCs w:val="22"/>
              </w:rPr>
            </w:pPr>
            <w:r>
              <w:rPr>
                <w:sz w:val="22"/>
                <w:szCs w:val="22"/>
              </w:rPr>
              <w:t>Standards (GBS)</w:t>
            </w:r>
          </w:p>
        </w:tc>
        <w:tc>
          <w:tcPr>
            <w:tcW w:w="4508" w:type="dxa"/>
          </w:tcPr>
          <w:p w14:paraId="1E42E380" w14:textId="77777777" w:rsidR="00C93F2B" w:rsidRDefault="00F01167">
            <w:pPr>
              <w:rPr>
                <w:sz w:val="22"/>
                <w:szCs w:val="22"/>
              </w:rPr>
            </w:pPr>
            <w:r>
              <w:rPr>
                <w:sz w:val="22"/>
                <w:szCs w:val="22"/>
              </w:rPr>
              <w:t>means the set of standards that government buyers must follow and the information about sustainable procurement and how it should be applied when buying goods and services.</w:t>
            </w:r>
          </w:p>
        </w:tc>
      </w:tr>
      <w:tr w:rsidR="00C93F2B" w14:paraId="780C1612" w14:textId="77777777">
        <w:tc>
          <w:tcPr>
            <w:tcW w:w="4508" w:type="dxa"/>
          </w:tcPr>
          <w:p w14:paraId="332B61C7" w14:textId="77777777" w:rsidR="00C93F2B" w:rsidRDefault="00F01167">
            <w:pPr>
              <w:rPr>
                <w:sz w:val="22"/>
                <w:szCs w:val="22"/>
              </w:rPr>
            </w:pPr>
            <w:r>
              <w:rPr>
                <w:sz w:val="22"/>
                <w:szCs w:val="22"/>
              </w:rPr>
              <w:t>Government’s Social Values</w:t>
            </w:r>
          </w:p>
        </w:tc>
        <w:tc>
          <w:tcPr>
            <w:tcW w:w="4508" w:type="dxa"/>
          </w:tcPr>
          <w:p w14:paraId="2252E4AD" w14:textId="77777777" w:rsidR="00C93F2B" w:rsidRDefault="00F01167">
            <w:pPr>
              <w:rPr>
                <w:sz w:val="22"/>
                <w:szCs w:val="22"/>
              </w:rPr>
            </w:pPr>
            <w:r>
              <w:rPr>
                <w:sz w:val="22"/>
                <w:szCs w:val="22"/>
              </w:rPr>
              <w:t>means the way that Government buyers applies its thought processes around how scarce resources are allocated and used. It</w:t>
            </w:r>
          </w:p>
          <w:p w14:paraId="611B86B7" w14:textId="77777777" w:rsidR="00C93F2B" w:rsidRDefault="00F01167">
            <w:pPr>
              <w:rPr>
                <w:sz w:val="22"/>
                <w:szCs w:val="22"/>
              </w:rPr>
            </w:pPr>
            <w:r>
              <w:rPr>
                <w:sz w:val="22"/>
                <w:szCs w:val="22"/>
              </w:rPr>
              <w:t>involves looking beyond the price of each individual contract and looking at what the collective benefit to a community is when Contracting Authorities choose to award a contract.</w:t>
            </w:r>
          </w:p>
        </w:tc>
      </w:tr>
      <w:tr w:rsidR="00C93F2B" w14:paraId="138CBF59" w14:textId="77777777">
        <w:tc>
          <w:tcPr>
            <w:tcW w:w="4508" w:type="dxa"/>
          </w:tcPr>
          <w:p w14:paraId="02B7B52B" w14:textId="77777777" w:rsidR="00C93F2B" w:rsidRDefault="00F01167">
            <w:pPr>
              <w:rPr>
                <w:sz w:val="22"/>
                <w:szCs w:val="22"/>
              </w:rPr>
            </w:pPr>
            <w:r>
              <w:rPr>
                <w:sz w:val="22"/>
                <w:szCs w:val="22"/>
              </w:rPr>
              <w:t>Supplier Personnel</w:t>
            </w:r>
          </w:p>
        </w:tc>
        <w:tc>
          <w:tcPr>
            <w:tcW w:w="4508" w:type="dxa"/>
          </w:tcPr>
          <w:p w14:paraId="5CADD337" w14:textId="77777777" w:rsidR="00C93F2B" w:rsidRDefault="00F01167">
            <w:pPr>
              <w:rPr>
                <w:sz w:val="22"/>
                <w:szCs w:val="22"/>
              </w:rPr>
            </w:pPr>
            <w:r>
              <w:rPr>
                <w:sz w:val="22"/>
                <w:szCs w:val="22"/>
              </w:rPr>
              <w:t>means the Personnel of the Supplier of whom the Contracting Authorities have entered into a contract</w:t>
            </w:r>
          </w:p>
        </w:tc>
      </w:tr>
      <w:tr w:rsidR="00C93F2B" w14:paraId="219E338F" w14:textId="77777777">
        <w:tc>
          <w:tcPr>
            <w:tcW w:w="4508" w:type="dxa"/>
          </w:tcPr>
          <w:p w14:paraId="19958610" w14:textId="77777777" w:rsidR="00C93F2B" w:rsidRDefault="00F01167">
            <w:pPr>
              <w:rPr>
                <w:sz w:val="22"/>
                <w:szCs w:val="22"/>
              </w:rPr>
            </w:pPr>
            <w:r>
              <w:rPr>
                <w:sz w:val="22"/>
                <w:szCs w:val="22"/>
              </w:rPr>
              <w:t>Turnkey</w:t>
            </w:r>
          </w:p>
        </w:tc>
        <w:tc>
          <w:tcPr>
            <w:tcW w:w="4508" w:type="dxa"/>
          </w:tcPr>
          <w:p w14:paraId="1844C74A" w14:textId="77777777" w:rsidR="00C93F2B" w:rsidRDefault="00F01167">
            <w:pPr>
              <w:rPr>
                <w:sz w:val="22"/>
                <w:szCs w:val="22"/>
              </w:rPr>
            </w:pPr>
            <w:r>
              <w:rPr>
                <w:sz w:val="22"/>
                <w:szCs w:val="22"/>
                <w:lang w:val="en"/>
              </w:rPr>
              <w:t xml:space="preserve">A </w:t>
            </w:r>
            <w:r>
              <w:rPr>
                <w:bCs/>
                <w:sz w:val="22"/>
                <w:szCs w:val="22"/>
                <w:lang w:val="en"/>
              </w:rPr>
              <w:t>turnkey</w:t>
            </w:r>
            <w:r>
              <w:rPr>
                <w:sz w:val="22"/>
                <w:szCs w:val="22"/>
                <w:lang w:val="en"/>
              </w:rPr>
              <w:t xml:space="preserve"> </w:t>
            </w:r>
            <w:r>
              <w:rPr>
                <w:bCs/>
                <w:sz w:val="22"/>
                <w:szCs w:val="22"/>
                <w:lang w:val="en"/>
              </w:rPr>
              <w:t>solution means a single contract with the appointed supplier for all goods and services associated with a converted vehicle, including the base vehicle, all alterations and ongoing maintenance</w:t>
            </w:r>
          </w:p>
        </w:tc>
      </w:tr>
      <w:tr w:rsidR="00C93F2B" w14:paraId="1AE9C81D" w14:textId="77777777">
        <w:tc>
          <w:tcPr>
            <w:tcW w:w="4508" w:type="dxa"/>
          </w:tcPr>
          <w:p w14:paraId="4D2CA7FA" w14:textId="77777777" w:rsidR="00C93F2B" w:rsidRDefault="00F01167">
            <w:pPr>
              <w:rPr>
                <w:sz w:val="22"/>
                <w:szCs w:val="22"/>
              </w:rPr>
            </w:pPr>
            <w:r>
              <w:rPr>
                <w:sz w:val="22"/>
                <w:szCs w:val="22"/>
              </w:rPr>
              <w:t>Vehicle Conversion</w:t>
            </w:r>
          </w:p>
        </w:tc>
        <w:tc>
          <w:tcPr>
            <w:tcW w:w="4508" w:type="dxa"/>
          </w:tcPr>
          <w:p w14:paraId="4534F00C" w14:textId="77777777" w:rsidR="00C93F2B" w:rsidRDefault="00F01167">
            <w:pPr>
              <w:rPr>
                <w:sz w:val="22"/>
                <w:szCs w:val="22"/>
              </w:rPr>
            </w:pPr>
            <w:r>
              <w:rPr>
                <w:sz w:val="22"/>
                <w:szCs w:val="22"/>
              </w:rPr>
              <w:t>Means an alteration or modification made to a vehicle which is not offered as a standard factory fit option from a vehicle manufacturer</w:t>
            </w:r>
          </w:p>
        </w:tc>
      </w:tr>
    </w:tbl>
    <w:p w14:paraId="15AECC84" w14:textId="77777777" w:rsidR="00C93F2B" w:rsidRDefault="00C93F2B"/>
    <w:sectPr w:rsidR="00C93F2B" w:rsidSect="001E0052">
      <w:headerReference w:type="default" r:id="rId24"/>
      <w:footerReference w:type="default" r:id="rId25"/>
      <w:pgSz w:w="11906" w:h="16838" w:code="9"/>
      <w:pgMar w:top="1361" w:right="1440"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3A425" w14:textId="77777777" w:rsidR="005E165F" w:rsidRDefault="005E165F">
      <w:r>
        <w:separator/>
      </w:r>
    </w:p>
  </w:endnote>
  <w:endnote w:type="continuationSeparator" w:id="0">
    <w:p w14:paraId="4736C0F0" w14:textId="77777777" w:rsidR="005E165F" w:rsidRDefault="005E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TZhongsong">
    <w:altName w:val="Arial Unicode MS"/>
    <w:panose1 w:val="00000000000000000000"/>
    <w:charset w:val="86"/>
    <w:family w:val="auto"/>
    <w:notTrueType/>
    <w:pitch w:val="variable"/>
    <w:sig w:usb0="00000000" w:usb1="080E0000" w:usb2="00000010" w:usb3="00000000" w:csb0="00040000" w:csb1="00000000"/>
  </w:font>
  <w:font w:name="Trebuchet MS">
    <w:panose1 w:val="020B0603020202020204"/>
    <w:charset w:val="00"/>
    <w:family w:val="swiss"/>
    <w:pitch w:val="variable"/>
    <w:sig w:usb0="00000287" w:usb1="00000003" w:usb2="00000000" w:usb3="00000000" w:csb0="0000009F" w:csb1="00000000"/>
  </w:font>
  <w:font w:name="Arial Bold">
    <w:panose1 w:val="020B0704020202020204"/>
    <w:charset w:val="00"/>
    <w:family w:val="auto"/>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41BD8" w14:textId="4BA60F04" w:rsidR="00C93F2B" w:rsidRDefault="00F01167">
    <w:pPr>
      <w:pStyle w:val="Footer"/>
    </w:pPr>
    <w:r>
      <w:t xml:space="preserve">Customer Needs, </w:t>
    </w:r>
    <w:r w:rsidR="00135C71">
      <w:t>DPS</w:t>
    </w:r>
    <w:r w:rsidR="001E0052">
      <w:t xml:space="preserve"> Open – Beta v2</w:t>
    </w:r>
    <w:r>
      <w:tab/>
    </w:r>
    <w:r w:rsidR="00135C71">
      <w:tab/>
    </w:r>
    <w:r>
      <w:t xml:space="preserve"> </w:t>
    </w:r>
    <w:r w:rsidR="001E0052">
      <w:t>November</w:t>
    </w:r>
    <w: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B25E2" w14:textId="77777777" w:rsidR="005E165F" w:rsidRDefault="005E165F">
      <w:r>
        <w:separator/>
      </w:r>
    </w:p>
  </w:footnote>
  <w:footnote w:type="continuationSeparator" w:id="0">
    <w:p w14:paraId="5E3D9777" w14:textId="77777777" w:rsidR="005E165F" w:rsidRDefault="005E1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947364"/>
      <w:docPartObj>
        <w:docPartGallery w:val="Page Numbers (Top of Page)"/>
        <w:docPartUnique/>
      </w:docPartObj>
    </w:sdtPr>
    <w:sdtEndPr>
      <w:rPr>
        <w:noProof/>
      </w:rPr>
    </w:sdtEndPr>
    <w:sdtContent>
      <w:p w14:paraId="7A44A0D9" w14:textId="77777777" w:rsidR="00C93F2B" w:rsidRDefault="00F01167">
        <w:pPr>
          <w:pStyle w:val="Header"/>
          <w:jc w:val="right"/>
        </w:pPr>
        <w:r>
          <w:fldChar w:fldCharType="begin"/>
        </w:r>
        <w:r>
          <w:instrText xml:space="preserve"> PAGE   \* MERGEFORMAT </w:instrText>
        </w:r>
        <w:r>
          <w:fldChar w:fldCharType="separate"/>
        </w:r>
        <w:r w:rsidR="00001518">
          <w:rPr>
            <w:noProof/>
          </w:rPr>
          <w:t>1</w:t>
        </w:r>
        <w:r>
          <w:rPr>
            <w:noProof/>
          </w:rPr>
          <w:fldChar w:fldCharType="end"/>
        </w:r>
      </w:p>
    </w:sdtContent>
  </w:sdt>
  <w:p w14:paraId="35DB947A" w14:textId="77777777" w:rsidR="00C93F2B" w:rsidRDefault="00C93F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07B1F74"/>
    <w:multiLevelType w:val="hybridMultilevel"/>
    <w:tmpl w:val="ADC04C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4F55CA"/>
    <w:multiLevelType w:val="hybridMultilevel"/>
    <w:tmpl w:val="D8EEC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36351B"/>
    <w:multiLevelType w:val="multilevel"/>
    <w:tmpl w:val="F9F2617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 w15:restartNumberingAfterBreak="0">
    <w:nsid w:val="05930163"/>
    <w:multiLevelType w:val="hybridMultilevel"/>
    <w:tmpl w:val="D7E61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6F6B42"/>
    <w:multiLevelType w:val="hybridMultilevel"/>
    <w:tmpl w:val="37D8CE16"/>
    <w:lvl w:ilvl="0" w:tplc="35C2A33E">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9E96CCC"/>
    <w:multiLevelType w:val="multilevel"/>
    <w:tmpl w:val="337EBAB8"/>
    <w:lvl w:ilvl="0">
      <w:start w:val="60"/>
      <w:numFmt w:val="decimal"/>
      <w:lvlText w:val="%1."/>
      <w:lvlJc w:val="left"/>
      <w:pPr>
        <w:tabs>
          <w:tab w:val="num" w:pos="511"/>
        </w:tabs>
        <w:ind w:left="511"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91"/>
        </w:tabs>
        <w:ind w:left="1191" w:hanging="737"/>
      </w:pPr>
      <w:rPr>
        <w:rFonts w:hint="default"/>
      </w:rPr>
    </w:lvl>
    <w:lvl w:ilvl="2">
      <w:start w:val="1"/>
      <w:numFmt w:val="decimal"/>
      <w:lvlText w:val="%1.%2.%3."/>
      <w:lvlJc w:val="left"/>
      <w:pPr>
        <w:tabs>
          <w:tab w:val="num" w:pos="1928"/>
        </w:tabs>
        <w:ind w:left="1928" w:hanging="850"/>
      </w:pPr>
      <w:rPr>
        <w:rFonts w:hint="default"/>
        <w:b w:val="0"/>
      </w:rPr>
    </w:lvl>
    <w:lvl w:ilvl="3">
      <w:start w:val="1"/>
      <w:numFmt w:val="decimal"/>
      <w:lvlText w:val="%1.%2.%3.%4."/>
      <w:lvlJc w:val="left"/>
      <w:pPr>
        <w:tabs>
          <w:tab w:val="num" w:pos="1873"/>
        </w:tabs>
        <w:ind w:left="1873" w:hanging="511"/>
      </w:pPr>
      <w:rPr>
        <w:rFonts w:hint="default"/>
      </w:rPr>
    </w:lvl>
    <w:lvl w:ilvl="4">
      <w:start w:val="1"/>
      <w:numFmt w:val="decimal"/>
      <w:lvlText w:val="%1.%2.%3.%4.%5."/>
      <w:lvlJc w:val="left"/>
      <w:pPr>
        <w:tabs>
          <w:tab w:val="num" w:pos="2327"/>
        </w:tabs>
        <w:ind w:left="2327" w:hanging="511"/>
      </w:pPr>
      <w:rPr>
        <w:rFonts w:hint="default"/>
      </w:rPr>
    </w:lvl>
    <w:lvl w:ilvl="5">
      <w:start w:val="1"/>
      <w:numFmt w:val="decimal"/>
      <w:lvlText w:val="%1.%2.%3.%4.%5.%6."/>
      <w:lvlJc w:val="left"/>
      <w:pPr>
        <w:tabs>
          <w:tab w:val="num" w:pos="2781"/>
        </w:tabs>
        <w:ind w:left="2781" w:hanging="511"/>
      </w:pPr>
      <w:rPr>
        <w:rFonts w:hint="default"/>
      </w:rPr>
    </w:lvl>
    <w:lvl w:ilvl="6">
      <w:start w:val="1"/>
      <w:numFmt w:val="decimal"/>
      <w:lvlText w:val="%1.%2.%3.%4.%5.%6.%7."/>
      <w:lvlJc w:val="left"/>
      <w:pPr>
        <w:tabs>
          <w:tab w:val="num" w:pos="3235"/>
        </w:tabs>
        <w:ind w:left="3235" w:hanging="511"/>
      </w:pPr>
      <w:rPr>
        <w:rFonts w:hint="default"/>
      </w:rPr>
    </w:lvl>
    <w:lvl w:ilvl="7">
      <w:start w:val="1"/>
      <w:numFmt w:val="decimal"/>
      <w:lvlText w:val="%1.%2.%3.%4.%5.%6.%7.%8."/>
      <w:lvlJc w:val="left"/>
      <w:pPr>
        <w:tabs>
          <w:tab w:val="num" w:pos="3689"/>
        </w:tabs>
        <w:ind w:left="3689" w:hanging="511"/>
      </w:pPr>
      <w:rPr>
        <w:rFonts w:hint="default"/>
      </w:rPr>
    </w:lvl>
    <w:lvl w:ilvl="8">
      <w:start w:val="1"/>
      <w:numFmt w:val="decimal"/>
      <w:lvlText w:val="%1.%2.%3.%4.%5.%6.%7.%8.%9."/>
      <w:lvlJc w:val="left"/>
      <w:pPr>
        <w:tabs>
          <w:tab w:val="num" w:pos="4143"/>
        </w:tabs>
        <w:ind w:left="4143" w:hanging="511"/>
      </w:pPr>
      <w:rPr>
        <w:rFonts w:hint="default"/>
      </w:rPr>
    </w:lvl>
  </w:abstractNum>
  <w:abstractNum w:abstractNumId="7" w15:restartNumberingAfterBreak="0">
    <w:nsid w:val="0BB1311C"/>
    <w:multiLevelType w:val="hybridMultilevel"/>
    <w:tmpl w:val="5EDEBE8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8" w15:restartNumberingAfterBreak="0">
    <w:nsid w:val="0CF716EA"/>
    <w:multiLevelType w:val="hybridMultilevel"/>
    <w:tmpl w:val="75A49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3D7D00"/>
    <w:multiLevelType w:val="hybridMultilevel"/>
    <w:tmpl w:val="F75629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0FF7285C"/>
    <w:multiLevelType w:val="hybridMultilevel"/>
    <w:tmpl w:val="0FE8A6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BF6319"/>
    <w:multiLevelType w:val="multilevel"/>
    <w:tmpl w:val="C284DF20"/>
    <w:lvl w:ilvl="0">
      <w:start w:val="1"/>
      <w:numFmt w:val="decimal"/>
      <w:lvlText w:val="%1"/>
      <w:lvlJc w:val="left"/>
      <w:pPr>
        <w:ind w:left="432" w:hanging="432"/>
      </w:pPr>
      <w:rPr>
        <w:rFonts w:hint="default"/>
        <w:b/>
      </w:rPr>
    </w:lvl>
    <w:lvl w:ilvl="1">
      <w:start w:val="1"/>
      <w:numFmt w:val="none"/>
      <w:pStyle w:val="Style9"/>
      <w:lvlText w:val="3.2"/>
      <w:lvlJc w:val="left"/>
      <w:pPr>
        <w:ind w:left="576" w:hanging="576"/>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strike w:val="0"/>
        <w:color w:val="auto"/>
        <w:sz w:val="22"/>
        <w:szCs w:val="22"/>
      </w:rPr>
    </w:lvl>
    <w:lvl w:ilvl="3">
      <w:start w:val="1"/>
      <w:numFmt w:val="decimal"/>
      <w:lvlText w:val="%1.%2.%3.%4"/>
      <w:lvlJc w:val="left"/>
      <w:pPr>
        <w:ind w:left="1289" w:hanging="864"/>
      </w:pPr>
      <w:rPr>
        <w:rFonts w:hint="default"/>
        <w:b w:val="0"/>
        <w:strike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8552EDC"/>
    <w:multiLevelType w:val="multilevel"/>
    <w:tmpl w:val="CE70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BE39E6"/>
    <w:multiLevelType w:val="multilevel"/>
    <w:tmpl w:val="54989BD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23335A0"/>
    <w:multiLevelType w:val="multilevel"/>
    <w:tmpl w:val="EA14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775718"/>
    <w:multiLevelType w:val="hybridMultilevel"/>
    <w:tmpl w:val="D65629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A2D49D1"/>
    <w:multiLevelType w:val="hybridMultilevel"/>
    <w:tmpl w:val="1BC25462"/>
    <w:lvl w:ilvl="0" w:tplc="A5DC8A98">
      <w:start w:val="1"/>
      <w:numFmt w:val="bullet"/>
      <w:lvlText w:val=""/>
      <w:lvlJc w:val="left"/>
      <w:pPr>
        <w:ind w:left="3600" w:hanging="360"/>
      </w:pPr>
      <w:rPr>
        <w:rFonts w:ascii="Wingdings" w:hAnsi="Wingdings"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D854A4"/>
    <w:multiLevelType w:val="hybridMultilevel"/>
    <w:tmpl w:val="B75E3B76"/>
    <w:lvl w:ilvl="0" w:tplc="08090001">
      <w:start w:val="1"/>
      <w:numFmt w:val="bullet"/>
      <w:lvlText w:val=""/>
      <w:lvlJc w:val="left"/>
      <w:pPr>
        <w:ind w:left="1797" w:hanging="360"/>
      </w:pPr>
      <w:rPr>
        <w:rFonts w:ascii="Symbol" w:hAnsi="Symbol" w:hint="default"/>
      </w:rPr>
    </w:lvl>
    <w:lvl w:ilvl="1" w:tplc="08090003" w:tentative="1">
      <w:start w:val="1"/>
      <w:numFmt w:val="bullet"/>
      <w:pStyle w:val="GPSL2Numbered"/>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0" w15:restartNumberingAfterBreak="0">
    <w:nsid w:val="2ADB5F16"/>
    <w:multiLevelType w:val="hybridMultilevel"/>
    <w:tmpl w:val="BC9E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6E6028"/>
    <w:multiLevelType w:val="hybridMultilevel"/>
    <w:tmpl w:val="5DA4B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7F5FAC"/>
    <w:multiLevelType w:val="hybridMultilevel"/>
    <w:tmpl w:val="39DC32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2D5481D"/>
    <w:multiLevelType w:val="multilevel"/>
    <w:tmpl w:val="8E364BB2"/>
    <w:lvl w:ilvl="0">
      <w:start w:val="1"/>
      <w:numFmt w:val="decimal"/>
      <w:lvlText w:val="%1."/>
      <w:lvlJc w:val="left"/>
      <w:pPr>
        <w:ind w:left="360" w:hanging="360"/>
      </w:pPr>
      <w:rPr>
        <w:color w:val="auto"/>
      </w:rPr>
    </w:lvl>
    <w:lvl w:ilvl="1">
      <w:start w:val="1"/>
      <w:numFmt w:val="decimal"/>
      <w:pStyle w:val="Heading2"/>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99849A5"/>
    <w:multiLevelType w:val="hybridMultilevel"/>
    <w:tmpl w:val="EB3AB9EE"/>
    <w:lvl w:ilvl="0" w:tplc="6E088522">
      <w:start w:val="1"/>
      <w:numFmt w:val="decimal"/>
      <w:lvlText w:val="%1."/>
      <w:lvlJc w:val="left"/>
      <w:pPr>
        <w:ind w:left="720" w:hanging="360"/>
      </w:pPr>
      <w:rPr>
        <w:rFonts w:ascii="Arial" w:hAnsi="Arial" w:cs="Arial"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0101CB"/>
    <w:multiLevelType w:val="hybridMultilevel"/>
    <w:tmpl w:val="952C6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057FDD"/>
    <w:multiLevelType w:val="hybridMultilevel"/>
    <w:tmpl w:val="06123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C3555E"/>
    <w:multiLevelType w:val="hybridMultilevel"/>
    <w:tmpl w:val="93BE6D32"/>
    <w:lvl w:ilvl="0" w:tplc="08090001">
      <w:start w:val="1"/>
      <w:numFmt w:val="bullet"/>
      <w:pStyle w:val="GPSL1SCHEDULEHeading"/>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8" w15:restartNumberingAfterBreak="0">
    <w:nsid w:val="45C007FF"/>
    <w:multiLevelType w:val="hybridMultilevel"/>
    <w:tmpl w:val="F75629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AC146A"/>
    <w:multiLevelType w:val="hybridMultilevel"/>
    <w:tmpl w:val="DB1C3FA6"/>
    <w:lvl w:ilvl="0" w:tplc="A5DC8A98">
      <w:start w:val="1"/>
      <w:numFmt w:val="bullet"/>
      <w:lvlText w:val=""/>
      <w:lvlJc w:val="left"/>
      <w:pPr>
        <w:ind w:left="3600" w:hanging="360"/>
      </w:pPr>
      <w:rPr>
        <w:rFonts w:ascii="Wingdings" w:hAnsi="Wingdings"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5D61CC"/>
    <w:multiLevelType w:val="hybridMultilevel"/>
    <w:tmpl w:val="3A44B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871FD6"/>
    <w:multiLevelType w:val="hybridMultilevel"/>
    <w:tmpl w:val="8E889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537CFD"/>
    <w:multiLevelType w:val="multilevel"/>
    <w:tmpl w:val="1BD6655A"/>
    <w:lvl w:ilvl="0">
      <w:start w:val="1"/>
      <w:numFmt w:val="upperRoman"/>
      <w:lvlText w:val="%1."/>
      <w:lvlJc w:val="left"/>
      <w:pPr>
        <w:ind w:left="1080" w:hanging="720"/>
      </w:pPr>
      <w:rPr>
        <w:rFonts w:hint="default"/>
      </w:rPr>
    </w:lvl>
    <w:lvl w:ilvl="1">
      <w:start w:val="3"/>
      <w:numFmt w:val="decimal"/>
      <w:isLgl/>
      <w:lvlText w:val="%1.%2"/>
      <w:lvlJc w:val="left"/>
      <w:pPr>
        <w:ind w:left="1182" w:hanging="43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5256" w:hanging="1800"/>
      </w:pPr>
      <w:rPr>
        <w:rFonts w:hint="default"/>
      </w:rPr>
    </w:lvl>
  </w:abstractNum>
  <w:abstractNum w:abstractNumId="33" w15:restartNumberingAfterBreak="0">
    <w:nsid w:val="57325F60"/>
    <w:multiLevelType w:val="hybridMultilevel"/>
    <w:tmpl w:val="450C49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77B62F4"/>
    <w:multiLevelType w:val="hybridMultilevel"/>
    <w:tmpl w:val="A5D09124"/>
    <w:lvl w:ilvl="0" w:tplc="D72C5F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EB2BFE"/>
    <w:multiLevelType w:val="multilevel"/>
    <w:tmpl w:val="F0163D2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heme="minorHAnsi" w:hAnsi="Arial" w:cs="Arial" w:hint="default"/>
        <w:sz w:val="20"/>
      </w:rPr>
    </w:lvl>
    <w:lvl w:ilvl="2">
      <w:numFmt w:val="bullet"/>
      <w:lvlText w:val="-"/>
      <w:lvlJc w:val="left"/>
      <w:pPr>
        <w:tabs>
          <w:tab w:val="num" w:pos="2160"/>
        </w:tabs>
        <w:ind w:left="2160" w:hanging="360"/>
      </w:pPr>
      <w:rPr>
        <w:rFonts w:ascii="Arial" w:eastAsiaTheme="minorHAnsi" w:hAnsi="Arial" w:cs="Aria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590AB6"/>
    <w:multiLevelType w:val="hybridMultilevel"/>
    <w:tmpl w:val="157A5F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58AB5223"/>
    <w:multiLevelType w:val="multilevel"/>
    <w:tmpl w:val="A9EC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AAC4278"/>
    <w:multiLevelType w:val="multilevel"/>
    <w:tmpl w:val="8B443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Arial" w:eastAsiaTheme="minorHAnsi" w:hAnsi="Arial" w:cs="Aria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C200E05"/>
    <w:multiLevelType w:val="hybridMultilevel"/>
    <w:tmpl w:val="C3FE6DBE"/>
    <w:lvl w:ilvl="0" w:tplc="30B4AF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ECE50BC"/>
    <w:multiLevelType w:val="hybridMultilevel"/>
    <w:tmpl w:val="E3AAB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E574C3"/>
    <w:multiLevelType w:val="multilevel"/>
    <w:tmpl w:val="54989BD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176346D"/>
    <w:multiLevelType w:val="hybridMultilevel"/>
    <w:tmpl w:val="03788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CB1E7C"/>
    <w:multiLevelType w:val="multilevel"/>
    <w:tmpl w:val="464639D2"/>
    <w:lvl w:ilvl="0">
      <w:start w:val="1"/>
      <w:numFmt w:val="decimal"/>
      <w:lvlText w:val="%1."/>
      <w:lvlJc w:val="left"/>
      <w:pPr>
        <w:ind w:left="786" w:hanging="360"/>
      </w:pPr>
      <w:rPr>
        <w:rFonts w:cs="Times New Roman"/>
        <w:b/>
        <w:color w:val="auto"/>
        <w:sz w:val="22"/>
        <w:szCs w:val="22"/>
      </w:rPr>
    </w:lvl>
    <w:lvl w:ilvl="1">
      <w:start w:val="1"/>
      <w:numFmt w:val="decimal"/>
      <w:lvlText w:val="%1.%2."/>
      <w:lvlJc w:val="left"/>
      <w:pPr>
        <w:ind w:left="858" w:hanging="432"/>
      </w:pPr>
      <w:rPr>
        <w:rFonts w:cs="Times New Roman"/>
        <w:b w:val="0"/>
        <w:color w:val="auto"/>
        <w:sz w:val="20"/>
        <w:szCs w:val="20"/>
      </w:rPr>
    </w:lvl>
    <w:lvl w:ilvl="2">
      <w:start w:val="1"/>
      <w:numFmt w:val="decimal"/>
      <w:lvlText w:val="%1.%2.%3."/>
      <w:lvlJc w:val="left"/>
      <w:pPr>
        <w:ind w:left="1355" w:hanging="504"/>
      </w:pPr>
      <w:rPr>
        <w:rFonts w:cs="Times New Roman"/>
        <w:b w:val="0"/>
        <w:color w:val="auto"/>
        <w:sz w:val="20"/>
        <w:szCs w:val="20"/>
      </w:rPr>
    </w:lvl>
    <w:lvl w:ilvl="3">
      <w:start w:val="1"/>
      <w:numFmt w:val="decimal"/>
      <w:lvlText w:val="%1.%2.%3.%4."/>
      <w:lvlJc w:val="left"/>
      <w:pPr>
        <w:ind w:left="932" w:hanging="648"/>
      </w:pPr>
      <w:rPr>
        <w:rFonts w:cs="Times New Roman"/>
        <w:sz w:val="20"/>
        <w:szCs w:val="2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66440287"/>
    <w:multiLevelType w:val="hybridMultilevel"/>
    <w:tmpl w:val="2F7034BE"/>
    <w:lvl w:ilvl="0" w:tplc="35C2A3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739388D"/>
    <w:multiLevelType w:val="hybridMultilevel"/>
    <w:tmpl w:val="847AB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47" w15:restartNumberingAfterBreak="0">
    <w:nsid w:val="6A0F2078"/>
    <w:multiLevelType w:val="multilevel"/>
    <w:tmpl w:val="B90A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CF95467"/>
    <w:multiLevelType w:val="hybridMultilevel"/>
    <w:tmpl w:val="E7183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0606EB4"/>
    <w:multiLevelType w:val="hybridMultilevel"/>
    <w:tmpl w:val="6B787900"/>
    <w:lvl w:ilvl="0" w:tplc="A5DC8A98">
      <w:start w:val="1"/>
      <w:numFmt w:val="bullet"/>
      <w:lvlText w:val=""/>
      <w:lvlJc w:val="left"/>
      <w:pPr>
        <w:ind w:left="3600" w:hanging="360"/>
      </w:pPr>
      <w:rPr>
        <w:rFonts w:ascii="Wingdings" w:hAnsi="Wingdings"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08749E5"/>
    <w:multiLevelType w:val="hybridMultilevel"/>
    <w:tmpl w:val="1FF443A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51" w15:restartNumberingAfterBreak="0">
    <w:nsid w:val="75102F13"/>
    <w:multiLevelType w:val="multilevel"/>
    <w:tmpl w:val="5F00D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5504ECC"/>
    <w:multiLevelType w:val="hybridMultilevel"/>
    <w:tmpl w:val="63E4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72936E4"/>
    <w:multiLevelType w:val="multilevel"/>
    <w:tmpl w:val="339EB85E"/>
    <w:lvl w:ilvl="0">
      <w:start w:val="1"/>
      <w:numFmt w:val="decimal"/>
      <w:pStyle w:val="GPSL1CLAUSEHEADING"/>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502"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4" w15:restartNumberingAfterBreak="0">
    <w:nsid w:val="777C1371"/>
    <w:multiLevelType w:val="multilevel"/>
    <w:tmpl w:val="D7405D0A"/>
    <w:lvl w:ilvl="0">
      <w:start w:val="1"/>
      <w:numFmt w:val="lowerLetter"/>
      <w:lvlText w:val="%1)"/>
      <w:lvlJc w:val="left"/>
      <w:pPr>
        <w:tabs>
          <w:tab w:val="num" w:pos="720"/>
        </w:tabs>
        <w:ind w:left="720" w:hanging="360"/>
      </w:pPr>
      <w:rPr>
        <w:rFonts w:ascii="Arial" w:eastAsia="Times New Roman" w:hAnsi="Arial" w:cs="Arial"/>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8A351EC"/>
    <w:multiLevelType w:val="hybridMultilevel"/>
    <w:tmpl w:val="C5F82D3C"/>
    <w:lvl w:ilvl="0" w:tplc="A5DC8A98">
      <w:start w:val="1"/>
      <w:numFmt w:val="bullet"/>
      <w:lvlText w:val=""/>
      <w:lvlJc w:val="left"/>
      <w:pPr>
        <w:ind w:left="3600" w:hanging="360"/>
      </w:pPr>
      <w:rPr>
        <w:rFonts w:ascii="Wingdings" w:hAnsi="Wingdings" w:hint="default"/>
        <w:color w:val="auto"/>
        <w:sz w:val="22"/>
        <w:szCs w:val="22"/>
      </w:rPr>
    </w:lvl>
    <w:lvl w:ilvl="1" w:tplc="35C2A33E">
      <w:numFmt w:val="bullet"/>
      <w:lvlText w:val="-"/>
      <w:lvlJc w:val="left"/>
      <w:pPr>
        <w:ind w:left="4320" w:hanging="360"/>
      </w:pPr>
      <w:rPr>
        <w:rFonts w:ascii="Arial" w:eastAsiaTheme="minorHAnsi" w:hAnsi="Arial" w:cs="Arial"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6" w15:restartNumberingAfterBreak="0">
    <w:nsid w:val="7ADE747C"/>
    <w:multiLevelType w:val="hybridMultilevel"/>
    <w:tmpl w:val="22D8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B733CA2"/>
    <w:multiLevelType w:val="hybridMultilevel"/>
    <w:tmpl w:val="C64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D074769"/>
    <w:multiLevelType w:val="hybridMultilevel"/>
    <w:tmpl w:val="1E9E1818"/>
    <w:lvl w:ilvl="0" w:tplc="04044B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D810EDA"/>
    <w:multiLevelType w:val="multilevel"/>
    <w:tmpl w:val="C3EA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5"/>
  </w:num>
  <w:num w:numId="2">
    <w:abstractNumId w:val="24"/>
  </w:num>
  <w:num w:numId="3">
    <w:abstractNumId w:val="19"/>
  </w:num>
  <w:num w:numId="4">
    <w:abstractNumId w:val="27"/>
  </w:num>
  <w:num w:numId="5">
    <w:abstractNumId w:val="7"/>
  </w:num>
  <w:num w:numId="6">
    <w:abstractNumId w:val="39"/>
  </w:num>
  <w:num w:numId="7">
    <w:abstractNumId w:val="53"/>
  </w:num>
  <w:num w:numId="8">
    <w:abstractNumId w:val="50"/>
  </w:num>
  <w:num w:numId="9">
    <w:abstractNumId w:val="36"/>
  </w:num>
  <w:num w:numId="10">
    <w:abstractNumId w:val="22"/>
  </w:num>
  <w:num w:numId="11">
    <w:abstractNumId w:val="16"/>
  </w:num>
  <w:num w:numId="12">
    <w:abstractNumId w:val="23"/>
  </w:num>
  <w:num w:numId="13">
    <w:abstractNumId w:val="21"/>
  </w:num>
  <w:num w:numId="14">
    <w:abstractNumId w:val="41"/>
  </w:num>
  <w:num w:numId="15">
    <w:abstractNumId w:val="34"/>
  </w:num>
  <w:num w:numId="16">
    <w:abstractNumId w:val="0"/>
  </w:num>
  <w:num w:numId="17">
    <w:abstractNumId w:val="10"/>
  </w:num>
  <w:num w:numId="18">
    <w:abstractNumId w:val="17"/>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8"/>
  </w:num>
  <w:num w:numId="24">
    <w:abstractNumId w:val="11"/>
  </w:num>
  <w:num w:numId="25">
    <w:abstractNumId w:val="32"/>
  </w:num>
  <w:num w:numId="26">
    <w:abstractNumId w:val="28"/>
  </w:num>
  <w:num w:numId="27">
    <w:abstractNumId w:val="57"/>
  </w:num>
  <w:num w:numId="28">
    <w:abstractNumId w:val="9"/>
  </w:num>
  <w:num w:numId="29">
    <w:abstractNumId w:val="46"/>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52"/>
  </w:num>
  <w:num w:numId="33">
    <w:abstractNumId w:val="23"/>
  </w:num>
  <w:num w:numId="34">
    <w:abstractNumId w:val="14"/>
  </w:num>
  <w:num w:numId="35">
    <w:abstractNumId w:val="23"/>
  </w:num>
  <w:num w:numId="36">
    <w:abstractNumId w:val="23"/>
  </w:num>
  <w:num w:numId="37">
    <w:abstractNumId w:val="23"/>
  </w:num>
  <w:num w:numId="38">
    <w:abstractNumId w:val="48"/>
  </w:num>
  <w:num w:numId="39">
    <w:abstractNumId w:val="31"/>
  </w:num>
  <w:num w:numId="40">
    <w:abstractNumId w:val="37"/>
  </w:num>
  <w:num w:numId="41">
    <w:abstractNumId w:val="15"/>
  </w:num>
  <w:num w:numId="42">
    <w:abstractNumId w:val="54"/>
  </w:num>
  <w:num w:numId="43">
    <w:abstractNumId w:val="12"/>
  </w:num>
  <w:num w:numId="44">
    <w:abstractNumId w:val="3"/>
  </w:num>
  <w:num w:numId="45">
    <w:abstractNumId w:val="23"/>
  </w:num>
  <w:num w:numId="46">
    <w:abstractNumId w:val="23"/>
  </w:num>
  <w:num w:numId="47">
    <w:abstractNumId w:val="23"/>
  </w:num>
  <w:num w:numId="48">
    <w:abstractNumId w:val="56"/>
  </w:num>
  <w:num w:numId="49">
    <w:abstractNumId w:val="2"/>
  </w:num>
  <w:num w:numId="50">
    <w:abstractNumId w:val="26"/>
  </w:num>
  <w:num w:numId="51">
    <w:abstractNumId w:val="23"/>
  </w:num>
  <w:num w:numId="52">
    <w:abstractNumId w:val="18"/>
  </w:num>
  <w:num w:numId="53">
    <w:abstractNumId w:val="29"/>
  </w:num>
  <w:num w:numId="54">
    <w:abstractNumId w:val="49"/>
  </w:num>
  <w:num w:numId="55">
    <w:abstractNumId w:val="4"/>
  </w:num>
  <w:num w:numId="56">
    <w:abstractNumId w:val="40"/>
  </w:num>
  <w:num w:numId="57">
    <w:abstractNumId w:val="20"/>
  </w:num>
  <w:num w:numId="58">
    <w:abstractNumId w:val="8"/>
  </w:num>
  <w:num w:numId="59">
    <w:abstractNumId w:val="42"/>
  </w:num>
  <w:num w:numId="60">
    <w:abstractNumId w:val="59"/>
  </w:num>
  <w:num w:numId="61">
    <w:abstractNumId w:val="45"/>
  </w:num>
  <w:num w:numId="62">
    <w:abstractNumId w:val="23"/>
  </w:num>
  <w:num w:numId="63">
    <w:abstractNumId w:val="23"/>
  </w:num>
  <w:num w:numId="64">
    <w:abstractNumId w:val="23"/>
  </w:num>
  <w:num w:numId="65">
    <w:abstractNumId w:val="23"/>
  </w:num>
  <w:num w:numId="66">
    <w:abstractNumId w:val="1"/>
  </w:num>
  <w:num w:numId="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num>
  <w:num w:numId="69">
    <w:abstractNumId w:val="13"/>
  </w:num>
  <w:num w:numId="70">
    <w:abstractNumId w:val="47"/>
  </w:num>
  <w:num w:numId="71">
    <w:abstractNumId w:val="51"/>
  </w:num>
  <w:num w:numId="72">
    <w:abstractNumId w:val="51"/>
    <w:lvlOverride w:ilvl="1">
      <w:lvl w:ilvl="1">
        <w:numFmt w:val="bullet"/>
        <w:lvlText w:val=""/>
        <w:lvlJc w:val="left"/>
        <w:pPr>
          <w:tabs>
            <w:tab w:val="num" w:pos="1440"/>
          </w:tabs>
          <w:ind w:left="1440" w:hanging="360"/>
        </w:pPr>
        <w:rPr>
          <w:rFonts w:ascii="Symbol" w:hAnsi="Symbol" w:hint="default"/>
          <w:sz w:val="20"/>
        </w:rPr>
      </w:lvl>
    </w:lvlOverride>
  </w:num>
  <w:num w:numId="73">
    <w:abstractNumId w:val="5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74">
    <w:abstractNumId w:val="33"/>
  </w:num>
  <w:num w:numId="75">
    <w:abstractNumId w:val="25"/>
  </w:num>
  <w:num w:numId="76">
    <w:abstractNumId w:val="38"/>
  </w:num>
  <w:num w:numId="77">
    <w:abstractNumId w:val="35"/>
  </w:num>
  <w:num w:numId="78">
    <w:abstractNumId w:val="5"/>
  </w:num>
  <w:num w:numId="79">
    <w:abstractNumId w:val="44"/>
  </w:num>
  <w:num w:numId="80">
    <w:abstractNumId w:val="23"/>
  </w:num>
  <w:num w:numId="81">
    <w:abstractNumId w:val="23"/>
  </w:num>
  <w:num w:numId="82">
    <w:abstractNumId w:val="23"/>
  </w:num>
  <w:num w:numId="83">
    <w:abstractNumId w:val="23"/>
  </w:num>
  <w:num w:numId="84">
    <w:abstractNumId w:val="23"/>
  </w:num>
  <w:num w:numId="85">
    <w:abstractNumId w:val="2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F2B"/>
    <w:rsid w:val="00001518"/>
    <w:rsid w:val="00017217"/>
    <w:rsid w:val="00072D1E"/>
    <w:rsid w:val="000E2A99"/>
    <w:rsid w:val="0010205F"/>
    <w:rsid w:val="00135C71"/>
    <w:rsid w:val="001E0052"/>
    <w:rsid w:val="00277792"/>
    <w:rsid w:val="00286B85"/>
    <w:rsid w:val="00373370"/>
    <w:rsid w:val="00413A2F"/>
    <w:rsid w:val="00492425"/>
    <w:rsid w:val="004B2624"/>
    <w:rsid w:val="00571C8C"/>
    <w:rsid w:val="0059048D"/>
    <w:rsid w:val="005C4C3F"/>
    <w:rsid w:val="005E165F"/>
    <w:rsid w:val="006574C9"/>
    <w:rsid w:val="007E5D21"/>
    <w:rsid w:val="00813514"/>
    <w:rsid w:val="0088147E"/>
    <w:rsid w:val="008D445D"/>
    <w:rsid w:val="008E6059"/>
    <w:rsid w:val="00930B0B"/>
    <w:rsid w:val="00967E22"/>
    <w:rsid w:val="00A00C90"/>
    <w:rsid w:val="00A01F0D"/>
    <w:rsid w:val="00A24E1E"/>
    <w:rsid w:val="00A44908"/>
    <w:rsid w:val="00A663FF"/>
    <w:rsid w:val="00AC0399"/>
    <w:rsid w:val="00BD0C97"/>
    <w:rsid w:val="00BF3233"/>
    <w:rsid w:val="00C072D7"/>
    <w:rsid w:val="00C93F2B"/>
    <w:rsid w:val="00CC6590"/>
    <w:rsid w:val="00CE0A45"/>
    <w:rsid w:val="00D14618"/>
    <w:rsid w:val="00D87027"/>
    <w:rsid w:val="00DB0BC9"/>
    <w:rsid w:val="00DB7446"/>
    <w:rsid w:val="00EC56C6"/>
    <w:rsid w:val="00F01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D131B"/>
  <w15:docId w15:val="{FB776348-ED81-45F2-89EE-8CD115C4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uiPriority w:val="9"/>
    <w:qFormat/>
    <w:pPr>
      <w:keepNext/>
      <w:keepLines/>
      <w:spacing w:before="240" w:after="0"/>
      <w:outlineLvl w:val="0"/>
    </w:pPr>
    <w:rPr>
      <w:rFonts w:eastAsiaTheme="majorEastAsia"/>
      <w:color w:val="0070C0"/>
      <w:sz w:val="28"/>
      <w:szCs w:val="28"/>
    </w:rPr>
  </w:style>
  <w:style w:type="paragraph" w:styleId="Heading2">
    <w:name w:val="heading 2"/>
    <w:basedOn w:val="Normal"/>
    <w:next w:val="Normal"/>
    <w:link w:val="Heading2Char"/>
    <w:uiPriority w:val="9"/>
    <w:unhideWhenUsed/>
    <w:qFormat/>
    <w:pPr>
      <w:numPr>
        <w:ilvl w:val="1"/>
        <w:numId w:val="12"/>
      </w:numPr>
      <w:spacing w:before="160"/>
      <w:contextualSpacing/>
      <w:outlineLvl w:val="1"/>
    </w:pPr>
    <w:rPr>
      <w:color w:val="0070C0"/>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heme="majorEastAsia" w:hAnsi="Arial" w:cs="Arial"/>
      <w:color w:val="0070C0"/>
      <w:sz w:val="28"/>
      <w:szCs w:val="28"/>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nhideWhenUsed/>
    <w:rPr>
      <w:vertAlign w:val="superscript"/>
    </w:rPr>
  </w:style>
  <w:style w:type="table" w:customStyle="1" w:styleId="GridTable4-Accent51">
    <w:name w:val="Grid Table 4 - Accent 51"/>
    <w:basedOn w:val="TableNormal"/>
    <w:uiPriority w:val="4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TOCHeading">
    <w:name w:val="TOC Heading"/>
    <w:basedOn w:val="Heading1"/>
    <w:next w:val="Normal"/>
    <w:uiPriority w:val="39"/>
    <w:unhideWhenUsed/>
    <w:qFormat/>
    <w:pPr>
      <w:outlineLvl w:val="9"/>
    </w:pPr>
    <w:rPr>
      <w:lang w:val="en-US"/>
    </w:r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Arial" w:hAnsi="Arial" w:cs="Arial"/>
      <w:color w:val="0070C0"/>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tabs>
        <w:tab w:val="right" w:leader="dot" w:pos="9016"/>
      </w:tabs>
      <w:spacing w:after="100"/>
      <w:ind w:left="567"/>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itle">
    <w:name w:val="Title"/>
    <w:basedOn w:val="Normal"/>
    <w:next w:val="Normal"/>
    <w:link w:val="TitleChar"/>
    <w:uiPriority w:val="10"/>
    <w:qFormat/>
    <w:pPr>
      <w:spacing w:after="0" w:line="240" w:lineRule="auto"/>
      <w:contextualSpacing/>
    </w:pPr>
    <w:rPr>
      <w:rFonts w:eastAsiaTheme="majorEastAsia"/>
      <w:color w:val="0070C0"/>
      <w:spacing w:val="-10"/>
      <w:kern w:val="28"/>
      <w:sz w:val="56"/>
      <w:szCs w:val="56"/>
    </w:rPr>
  </w:style>
  <w:style w:type="character" w:customStyle="1" w:styleId="TitleChar">
    <w:name w:val="Title Char"/>
    <w:basedOn w:val="DefaultParagraphFont"/>
    <w:link w:val="Title"/>
    <w:uiPriority w:val="10"/>
    <w:rPr>
      <w:rFonts w:ascii="Arial" w:eastAsiaTheme="majorEastAsia" w:hAnsi="Arial" w:cs="Arial"/>
      <w:color w:val="0070C0"/>
      <w:spacing w:val="-10"/>
      <w:kern w:val="28"/>
      <w:sz w:val="56"/>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GPSL1CLAUSEHEADING">
    <w:name w:val="GPS L1 CLAUSE HEADING"/>
    <w:basedOn w:val="Normal"/>
    <w:next w:val="Normal"/>
    <w:link w:val="GPSL1CLAUSEHEADINGChar"/>
    <w:qFormat/>
    <w:pPr>
      <w:numPr>
        <w:numId w:val="7"/>
      </w:numPr>
      <w:tabs>
        <w:tab w:val="left" w:pos="142"/>
      </w:tabs>
      <w:adjustRightInd w:val="0"/>
      <w:spacing w:before="120" w:after="240" w:line="240" w:lineRule="auto"/>
      <w:ind w:left="426" w:hanging="426"/>
      <w:jc w:val="both"/>
      <w:outlineLvl w:val="1"/>
    </w:pPr>
    <w:rPr>
      <w:rFonts w:ascii="Calibri" w:eastAsia="STZhongsong" w:hAnsi="Calibri"/>
      <w:b/>
      <w:caps/>
      <w:lang w:eastAsia="zh-CN"/>
    </w:rPr>
  </w:style>
  <w:style w:type="paragraph" w:customStyle="1" w:styleId="GPSL3numberedclause">
    <w:name w:val="GPS L3 numbered clause"/>
    <w:basedOn w:val="Normal"/>
    <w:link w:val="GPSL3numberedclauseChar"/>
    <w:qFormat/>
    <w:pPr>
      <w:numPr>
        <w:ilvl w:val="2"/>
        <w:numId w:val="7"/>
      </w:numPr>
      <w:tabs>
        <w:tab w:val="left" w:pos="1985"/>
      </w:tabs>
      <w:adjustRightInd w:val="0"/>
      <w:spacing w:before="120" w:after="120" w:line="240" w:lineRule="auto"/>
      <w:ind w:left="1985" w:hanging="851"/>
      <w:jc w:val="both"/>
    </w:pPr>
    <w:rPr>
      <w:rFonts w:ascii="Calibri" w:eastAsia="Times New Roman" w:hAnsi="Calibri"/>
      <w:lang w:eastAsia="zh-CN"/>
    </w:rPr>
  </w:style>
  <w:style w:type="paragraph" w:customStyle="1" w:styleId="GPSL4numberedclause">
    <w:name w:val="GPS L4 numbered clause"/>
    <w:basedOn w:val="GPSL3numberedclause"/>
    <w:link w:val="GPSL4numberedclauseChar"/>
    <w:qFormat/>
    <w:pPr>
      <w:numPr>
        <w:ilvl w:val="3"/>
      </w:numPr>
      <w:tabs>
        <w:tab w:val="left" w:pos="2552"/>
      </w:tabs>
      <w:ind w:left="2552" w:hanging="567"/>
    </w:pPr>
  </w:style>
  <w:style w:type="paragraph" w:customStyle="1" w:styleId="GPSL5numberedclause">
    <w:name w:val="GPS L5 numbered clause"/>
    <w:basedOn w:val="GPSL4numberedclause"/>
    <w:link w:val="GPSL5numberedclauseChar"/>
    <w:qFormat/>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pPr>
      <w:numPr>
        <w:ilvl w:val="1"/>
        <w:numId w:val="7"/>
      </w:numPr>
      <w:tabs>
        <w:tab w:val="left" w:pos="1134"/>
      </w:tabs>
      <w:adjustRightInd w:val="0"/>
      <w:spacing w:before="120" w:after="120" w:line="240" w:lineRule="auto"/>
      <w:ind w:hanging="218"/>
      <w:jc w:val="both"/>
    </w:pPr>
    <w:rPr>
      <w:rFonts w:ascii="Calibri" w:eastAsia="Times New Roman" w:hAnsi="Calibri"/>
      <w:b/>
      <w:lang w:eastAsia="zh-CN"/>
    </w:rPr>
  </w:style>
  <w:style w:type="paragraph" w:customStyle="1" w:styleId="GPSL6numbered">
    <w:name w:val="GPS L6 numbered"/>
    <w:basedOn w:val="GPSL5numberedclause"/>
    <w:qFormat/>
    <w:pPr>
      <w:numPr>
        <w:ilvl w:val="5"/>
      </w:numPr>
      <w:tabs>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sz w:val="24"/>
      <w:szCs w:val="24"/>
      <w:lang w:eastAsia="zh-CN"/>
    </w:rPr>
  </w:style>
  <w:style w:type="paragraph" w:styleId="NoSpacing">
    <w:name w:val="No Spacing"/>
    <w:link w:val="NoSpacingChar"/>
    <w:uiPriority w:val="1"/>
    <w:qFormat/>
    <w:pPr>
      <w:spacing w:after="0" w:line="240" w:lineRule="auto"/>
    </w:pPr>
    <w:rPr>
      <w:rFonts w:eastAsiaTheme="minorEastAsia"/>
      <w:lang w:val="en-US"/>
    </w:rPr>
  </w:style>
  <w:style w:type="character" w:customStyle="1" w:styleId="NoSpacingChar">
    <w:name w:val="No Spacing Char"/>
    <w:basedOn w:val="DefaultParagraphFont"/>
    <w:link w:val="NoSpacing"/>
    <w:uiPriority w:val="1"/>
    <w:rPr>
      <w:rFonts w:eastAsiaTheme="minorEastAsia"/>
      <w:lang w:val="en-US"/>
    </w:rPr>
  </w:style>
  <w:style w:type="paragraph" w:customStyle="1" w:styleId="MarginText">
    <w:name w:val="Margin Text"/>
    <w:basedOn w:val="Normal"/>
    <w:link w:val="MarginTextChar"/>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character" w:styleId="Strong">
    <w:name w:val="Strong"/>
    <w:basedOn w:val="DefaultParagraphFont"/>
    <w:uiPriority w:val="22"/>
    <w:qFormat/>
    <w:rPr>
      <w:b/>
      <w:bCs/>
    </w:rPr>
  </w:style>
  <w:style w:type="paragraph" w:styleId="BodyTextIndent">
    <w:name w:val="Body Text Indent"/>
    <w:basedOn w:val="Normal"/>
    <w:link w:val="BodyTextIndentChar"/>
    <w:pPr>
      <w:numPr>
        <w:numId w:val="16"/>
      </w:numPr>
      <w:adjustRightInd w:val="0"/>
      <w:spacing w:after="240" w:line="240" w:lineRule="auto"/>
      <w:jc w:val="both"/>
    </w:pPr>
    <w:rPr>
      <w:rFonts w:ascii="Calibri" w:eastAsia="Times New Roman" w:hAnsi="Calibri" w:cs="Times New Roman"/>
      <w:sz w:val="22"/>
      <w:szCs w:val="22"/>
      <w:lang w:eastAsia="zh-CN"/>
    </w:rPr>
  </w:style>
  <w:style w:type="character" w:customStyle="1" w:styleId="BodyTextIndentChar">
    <w:name w:val="Body Text Indent Char"/>
    <w:basedOn w:val="DefaultParagraphFont"/>
    <w:link w:val="BodyTextIndent"/>
    <w:rPr>
      <w:rFonts w:ascii="Calibri" w:eastAsia="Times New Roman" w:hAnsi="Calibri" w:cs="Times New Roman"/>
      <w:lang w:eastAsia="zh-CN"/>
    </w:rPr>
  </w:style>
  <w:style w:type="character" w:customStyle="1" w:styleId="GPSL5numberedclauseChar">
    <w:name w:val="GPS L5 numbered clause Char"/>
    <w:link w:val="GPSL5numberedclause"/>
    <w:locked/>
    <w:rPr>
      <w:rFonts w:ascii="Calibri" w:eastAsia="Times New Roman" w:hAnsi="Calibri" w:cs="Arial"/>
      <w:sz w:val="24"/>
      <w:szCs w:val="24"/>
      <w:lang w:eastAsia="zh-CN"/>
    </w:rPr>
  </w:style>
  <w:style w:type="character" w:customStyle="1" w:styleId="GPSL2NumberedBoldHeadingChar">
    <w:name w:val="GPS L2 Numbered Bold Heading Char"/>
    <w:link w:val="GPSL2NumberedBoldHeading"/>
    <w:locked/>
    <w:rPr>
      <w:rFonts w:ascii="Calibri" w:eastAsia="Times New Roman" w:hAnsi="Calibri" w:cs="Arial"/>
      <w:b/>
      <w:sz w:val="24"/>
      <w:szCs w:val="24"/>
      <w:lang w:eastAsia="zh-CN"/>
    </w:rPr>
  </w:style>
  <w:style w:type="paragraph" w:customStyle="1" w:styleId="GPsDefinition">
    <w:name w:val="GPs Definition"/>
    <w:basedOn w:val="Normal"/>
    <w:qFormat/>
    <w:pPr>
      <w:numPr>
        <w:numId w:val="17"/>
      </w:numPr>
      <w:tabs>
        <w:tab w:val="left" w:pos="175"/>
      </w:tabs>
      <w:overflowPunct w:val="0"/>
      <w:autoSpaceDE w:val="0"/>
      <w:autoSpaceDN w:val="0"/>
      <w:adjustRightInd w:val="0"/>
      <w:spacing w:after="120" w:line="240" w:lineRule="auto"/>
      <w:jc w:val="both"/>
      <w:textAlignment w:val="baseline"/>
    </w:pPr>
    <w:rPr>
      <w:rFonts w:ascii="Calibri" w:eastAsia="Times New Roman" w:hAnsi="Calibri"/>
      <w:sz w:val="22"/>
      <w:szCs w:val="22"/>
    </w:rPr>
  </w:style>
  <w:style w:type="paragraph" w:customStyle="1" w:styleId="GPSDefinitionL2">
    <w:name w:val="GPS Definition L2"/>
    <w:basedOn w:val="GPsDefinition"/>
    <w:link w:val="GPSDefinitionL2Char"/>
    <w:qFormat/>
    <w:pPr>
      <w:numPr>
        <w:ilvl w:val="1"/>
      </w:numPr>
      <w:ind w:hanging="544"/>
    </w:pPr>
  </w:style>
  <w:style w:type="paragraph" w:customStyle="1" w:styleId="GPSDefinitionL3">
    <w:name w:val="GPS Definition L3"/>
    <w:basedOn w:val="GPSDefinitionL2"/>
    <w:link w:val="GPSDefinitionL3Char"/>
    <w:qFormat/>
    <w:pPr>
      <w:numPr>
        <w:ilvl w:val="2"/>
      </w:numPr>
    </w:pPr>
  </w:style>
  <w:style w:type="paragraph" w:customStyle="1" w:styleId="GPSDefinitionL4">
    <w:name w:val="GPS Definition L4"/>
    <w:basedOn w:val="GPSDefinitionL3"/>
    <w:qFormat/>
    <w:pPr>
      <w:numPr>
        <w:ilvl w:val="3"/>
      </w:numPr>
      <w:tabs>
        <w:tab w:val="num" w:pos="360"/>
      </w:tabs>
      <w:ind w:left="2880"/>
    </w:pPr>
  </w:style>
  <w:style w:type="paragraph" w:customStyle="1" w:styleId="GPSL1Guidance">
    <w:name w:val="GPS L1 Guidance"/>
    <w:basedOn w:val="Normal"/>
    <w:link w:val="GPSL1GuidanceChar"/>
    <w:qFormat/>
    <w:pPr>
      <w:overflowPunct w:val="0"/>
      <w:autoSpaceDE w:val="0"/>
      <w:autoSpaceDN w:val="0"/>
      <w:adjustRightInd w:val="0"/>
      <w:spacing w:before="240" w:after="120" w:line="240" w:lineRule="auto"/>
      <w:ind w:left="426"/>
      <w:jc w:val="both"/>
      <w:textAlignment w:val="baseline"/>
    </w:pPr>
    <w:rPr>
      <w:rFonts w:ascii="Calibri" w:eastAsia="Times New Roman" w:hAnsi="Calibri"/>
      <w:b/>
      <w:i/>
      <w:sz w:val="22"/>
      <w:szCs w:val="22"/>
    </w:rPr>
  </w:style>
  <w:style w:type="paragraph" w:customStyle="1" w:styleId="GPSL2Guidance">
    <w:name w:val="GPS L2 Guidance"/>
    <w:basedOn w:val="Normal"/>
    <w:link w:val="GPSL2GuidanceChar"/>
    <w:qFormat/>
    <w:pPr>
      <w:tabs>
        <w:tab w:val="left" w:pos="1134"/>
      </w:tabs>
      <w:adjustRightInd w:val="0"/>
      <w:spacing w:before="120" w:after="120" w:line="240" w:lineRule="auto"/>
      <w:ind w:left="1134"/>
      <w:jc w:val="both"/>
    </w:pPr>
    <w:rPr>
      <w:rFonts w:ascii="Calibri" w:eastAsia="Times New Roman" w:hAnsi="Calibri"/>
      <w:b/>
      <w:i/>
      <w:sz w:val="22"/>
      <w:szCs w:val="22"/>
      <w:lang w:eastAsia="zh-CN"/>
    </w:rPr>
  </w:style>
  <w:style w:type="paragraph" w:customStyle="1" w:styleId="GPSL2Indent">
    <w:name w:val="GPS L2 Indent"/>
    <w:basedOn w:val="Normal"/>
    <w:link w:val="GPSL2IndentChar"/>
    <w:qFormat/>
    <w:pPr>
      <w:tabs>
        <w:tab w:val="left" w:pos="3402"/>
      </w:tabs>
      <w:overflowPunct w:val="0"/>
      <w:autoSpaceDE w:val="0"/>
      <w:autoSpaceDN w:val="0"/>
      <w:adjustRightInd w:val="0"/>
      <w:spacing w:after="220" w:line="240" w:lineRule="auto"/>
      <w:ind w:left="1134"/>
      <w:jc w:val="both"/>
      <w:textAlignment w:val="baseline"/>
    </w:pPr>
    <w:rPr>
      <w:rFonts w:ascii="Calibri" w:eastAsia="Times New Roman" w:hAnsi="Calibri"/>
      <w:sz w:val="22"/>
    </w:rPr>
  </w:style>
  <w:style w:type="paragraph" w:customStyle="1" w:styleId="GPSL3Guidance">
    <w:name w:val="GPS L3 Guidance"/>
    <w:basedOn w:val="GPSL3numberedclause"/>
    <w:link w:val="GPSL3GuidanceChar"/>
    <w:qFormat/>
    <w:pPr>
      <w:numPr>
        <w:ilvl w:val="0"/>
        <w:numId w:val="0"/>
      </w:numPr>
      <w:ind w:left="1985"/>
    </w:pPr>
    <w:rPr>
      <w:b/>
      <w:i/>
      <w:sz w:val="22"/>
      <w:szCs w:val="22"/>
    </w:rPr>
  </w:style>
  <w:style w:type="paragraph" w:customStyle="1" w:styleId="GPSL2Numbered">
    <w:name w:val="GPS L2 Numbered"/>
    <w:basedOn w:val="GPSL2NumberedBoldHeading"/>
    <w:link w:val="GPSL2NumberedChar"/>
    <w:qFormat/>
    <w:pPr>
      <w:numPr>
        <w:numId w:val="3"/>
      </w:numPr>
      <w:tabs>
        <w:tab w:val="left" w:pos="709"/>
      </w:tabs>
    </w:pPr>
    <w:rPr>
      <w:b w:val="0"/>
      <w:sz w:val="22"/>
      <w:szCs w:val="22"/>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4Guidance">
    <w:name w:val="GPS L4 Guidance"/>
    <w:basedOn w:val="GPSL3Guidance"/>
    <w:link w:val="GPSL4GuidanceChar"/>
    <w:qFormat/>
  </w:style>
  <w:style w:type="character" w:customStyle="1" w:styleId="GPSL4GuidanceChar">
    <w:name w:val="GPS L4 Guidance Char"/>
    <w:link w:val="GPSL4Guidance"/>
    <w:locked/>
    <w:rPr>
      <w:rFonts w:ascii="Calibri" w:eastAsia="Times New Roman" w:hAnsi="Calibri" w:cs="Arial"/>
      <w:b/>
      <w:i/>
      <w:lang w:eastAsia="zh-CN"/>
    </w:rPr>
  </w:style>
  <w:style w:type="character" w:customStyle="1" w:styleId="GPSDefinitionL2Char">
    <w:name w:val="GPS Definition L2 Char"/>
    <w:link w:val="GPSDefinitionL2"/>
    <w:locked/>
    <w:rPr>
      <w:rFonts w:ascii="Calibri" w:eastAsia="Times New Roman" w:hAnsi="Calibri" w:cs="Arial"/>
    </w:rPr>
  </w:style>
  <w:style w:type="character" w:customStyle="1" w:styleId="GPSDefinitionL3Char">
    <w:name w:val="GPS Definition L3 Char"/>
    <w:link w:val="GPSDefinitionL3"/>
    <w:locked/>
    <w:rPr>
      <w:rFonts w:ascii="Calibri" w:eastAsia="Times New Roman" w:hAnsi="Calibri" w:cs="Arial"/>
    </w:rPr>
  </w:style>
  <w:style w:type="character" w:customStyle="1" w:styleId="GPSL1GuidanceChar">
    <w:name w:val="GPS L1 Guidance Char"/>
    <w:link w:val="GPSL1Guidance"/>
    <w:locked/>
    <w:rPr>
      <w:rFonts w:ascii="Calibri" w:eastAsia="Times New Roman" w:hAnsi="Calibri" w:cs="Arial"/>
      <w:b/>
      <w:i/>
    </w:rPr>
  </w:style>
  <w:style w:type="paragraph" w:customStyle="1" w:styleId="ORDERFORML1PraraNo">
    <w:name w:val="ORDER FORM L1 Prara No"/>
    <w:basedOn w:val="Normal"/>
    <w:link w:val="ORDERFORML1PraraNoChar"/>
    <w:qFormat/>
    <w:pPr>
      <w:numPr>
        <w:numId w:val="18"/>
      </w:numPr>
      <w:adjustRightInd w:val="0"/>
      <w:spacing w:after="0" w:line="240" w:lineRule="auto"/>
      <w:ind w:left="426" w:hanging="426"/>
      <w:jc w:val="both"/>
    </w:pPr>
    <w:rPr>
      <w:rFonts w:ascii="Calibri" w:eastAsia="STZhongsong" w:hAnsi="Calibri" w:cs="Times New Roman"/>
      <w:b/>
      <w:caps/>
      <w:sz w:val="22"/>
      <w:szCs w:val="22"/>
      <w:lang w:eastAsia="zh-CN"/>
    </w:rPr>
  </w:style>
  <w:style w:type="paragraph" w:customStyle="1" w:styleId="ORDERFORML2Title">
    <w:name w:val="ORDER FORM L2 Title"/>
    <w:basedOn w:val="Normal"/>
    <w:link w:val="ORDERFORML2TitleChar"/>
    <w:qFormat/>
    <w:pPr>
      <w:numPr>
        <w:ilvl w:val="1"/>
        <w:numId w:val="18"/>
      </w:numPr>
      <w:adjustRightInd w:val="0"/>
      <w:spacing w:after="120" w:line="240" w:lineRule="auto"/>
      <w:ind w:left="993" w:hanging="567"/>
      <w:jc w:val="both"/>
    </w:pPr>
    <w:rPr>
      <w:rFonts w:eastAsia="STZhongsong" w:cs="Times New Roman"/>
      <w:b/>
      <w:sz w:val="22"/>
      <w:szCs w:val="22"/>
      <w:lang w:eastAsia="zh-CN"/>
    </w:rPr>
  </w:style>
  <w:style w:type="character" w:customStyle="1" w:styleId="ORDERFORML1PraraNoChar">
    <w:name w:val="ORDER FORM L1 Prara No Char"/>
    <w:link w:val="ORDERFORML1PraraNo"/>
    <w:rPr>
      <w:rFonts w:ascii="Calibri" w:eastAsia="STZhongsong" w:hAnsi="Calibri" w:cs="Times New Roman"/>
      <w:b/>
      <w:caps/>
      <w:lang w:eastAsia="zh-CN"/>
    </w:rPr>
  </w:style>
  <w:style w:type="character" w:customStyle="1" w:styleId="GPSL3GuidanceChar">
    <w:name w:val="GPS L3 Guidance Char"/>
    <w:link w:val="GPSL3Guidance"/>
    <w:rPr>
      <w:rFonts w:ascii="Calibri" w:eastAsia="Times New Roman" w:hAnsi="Calibri" w:cs="Arial"/>
      <w:b/>
      <w:i/>
      <w:lang w:eastAsia="zh-CN"/>
    </w:rPr>
  </w:style>
  <w:style w:type="character" w:customStyle="1" w:styleId="GPSL2IndentChar">
    <w:name w:val="GPS L2 Indent Char"/>
    <w:link w:val="GPSL2Indent"/>
    <w:rPr>
      <w:rFonts w:ascii="Calibri" w:eastAsia="Times New Roman" w:hAnsi="Calibri" w:cs="Arial"/>
      <w:szCs w:val="24"/>
    </w:rPr>
  </w:style>
  <w:style w:type="character" w:customStyle="1" w:styleId="GPSL2GuidanceChar">
    <w:name w:val="GPS L2 Guidance Char"/>
    <w:link w:val="GPSL2Guidance"/>
    <w:rPr>
      <w:rFonts w:ascii="Calibri" w:eastAsia="Times New Roman" w:hAnsi="Calibri" w:cs="Arial"/>
      <w:b/>
      <w:i/>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ascii="Calibri" w:eastAsia="Times New Roman" w:hAnsi="Calibri"/>
      <w:sz w:val="22"/>
      <w:szCs w:val="22"/>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sz w:val="24"/>
      <w:szCs w:val="24"/>
      <w:lang w:eastAsia="zh-CN"/>
    </w:rPr>
  </w:style>
  <w:style w:type="paragraph" w:customStyle="1" w:styleId="GPSL3Indent">
    <w:name w:val="GPS L3 Indent"/>
    <w:basedOn w:val="Normal"/>
    <w:link w:val="GPSL3IndentChar"/>
    <w:pPr>
      <w:tabs>
        <w:tab w:val="left" w:pos="2127"/>
      </w:tabs>
      <w:adjustRightInd w:val="0"/>
      <w:spacing w:before="120" w:after="120" w:line="240" w:lineRule="auto"/>
      <w:ind w:left="2127"/>
      <w:jc w:val="both"/>
    </w:pPr>
    <w:rPr>
      <w:rFonts w:eastAsia="Times New Roman"/>
      <w:sz w:val="22"/>
      <w:szCs w:val="22"/>
      <w:lang w:val="en-US" w:eastAsia="zh-CN"/>
    </w:rPr>
  </w:style>
  <w:style w:type="paragraph" w:customStyle="1" w:styleId="GPSL1SCHEDULEHeading">
    <w:name w:val="GPS L1 SCHEDULE Heading"/>
    <w:basedOn w:val="GPSL1CLAUSEHEADING"/>
    <w:link w:val="GPSL1SCHEDULEHeadingChar"/>
    <w:qFormat/>
    <w:pPr>
      <w:numPr>
        <w:numId w:val="4"/>
      </w:numPr>
      <w:tabs>
        <w:tab w:val="clear" w:pos="142"/>
        <w:tab w:val="left" w:pos="0"/>
      </w:tabs>
      <w:spacing w:before="240"/>
      <w:outlineLvl w:val="9"/>
    </w:pPr>
    <w:rPr>
      <w:sz w:val="22"/>
      <w:szCs w:val="22"/>
    </w:rPr>
  </w:style>
  <w:style w:type="character" w:customStyle="1" w:styleId="GPSL1SCHEDULEHeadingChar">
    <w:name w:val="GPS L1 SCHEDULE Heading Char"/>
    <w:link w:val="GPSL1SCHEDULEHeading"/>
    <w:rPr>
      <w:rFonts w:ascii="Calibri" w:eastAsia="STZhongsong" w:hAnsi="Calibri" w:cs="Arial"/>
      <w:b/>
      <w:caps/>
      <w:lang w:eastAsia="zh-CN"/>
    </w:rPr>
  </w:style>
  <w:style w:type="paragraph" w:styleId="Revision">
    <w:name w:val="Revision"/>
    <w:hidden/>
    <w:uiPriority w:val="99"/>
    <w:semiHidden/>
    <w:pPr>
      <w:spacing w:after="0" w:line="240" w:lineRule="auto"/>
    </w:pPr>
    <w:rPr>
      <w:rFonts w:ascii="Calibri" w:eastAsia="Calibri" w:hAnsi="Calibri" w:cs="Times New Roman"/>
    </w:rPr>
  </w:style>
  <w:style w:type="character" w:customStyle="1" w:styleId="GPSL1CLAUSEHEADINGChar">
    <w:name w:val="GPS L1 CLAUSE HEADING Char"/>
    <w:link w:val="GPSL1CLAUSEHEADING"/>
    <w:rPr>
      <w:rFonts w:ascii="Calibri" w:eastAsia="STZhongsong" w:hAnsi="Calibri" w:cs="Arial"/>
      <w:b/>
      <w:caps/>
      <w:sz w:val="24"/>
      <w:szCs w:val="24"/>
      <w:lang w:eastAsia="zh-CN"/>
    </w:rPr>
  </w:style>
  <w:style w:type="paragraph" w:customStyle="1" w:styleId="Body3">
    <w:name w:val="Body3"/>
    <w:basedOn w:val="Normal"/>
    <w:uiPriority w:val="99"/>
    <w:pPr>
      <w:spacing w:after="220" w:line="240" w:lineRule="auto"/>
      <w:ind w:left="1412"/>
      <w:jc w:val="both"/>
    </w:pPr>
    <w:rPr>
      <w:rFonts w:ascii="Trebuchet MS" w:eastAsia="Times New Roman" w:hAnsi="Trebuchet MS" w:cs="Times New Roman"/>
      <w:sz w:val="20"/>
      <w:szCs w:val="20"/>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eastAsia="Times New Roman"/>
      <w:b/>
      <w:sz w:val="22"/>
      <w:szCs w:val="22"/>
    </w:rPr>
  </w:style>
  <w:style w:type="character" w:customStyle="1" w:styleId="GPSL3IndentChar">
    <w:name w:val="GPS L3 Indent Char"/>
    <w:link w:val="GPSL3Indent"/>
    <w:locked/>
    <w:rPr>
      <w:rFonts w:ascii="Arial" w:eastAsia="Times New Roman" w:hAnsi="Arial" w:cs="Arial"/>
      <w:lang w:val="en-US" w:eastAsia="zh-CN"/>
    </w:rPr>
  </w:style>
  <w:style w:type="paragraph" w:customStyle="1" w:styleId="GPSTITLES">
    <w:name w:val="GPS TITLES"/>
    <w:basedOn w:val="Normal"/>
    <w:link w:val="GPSTITLESChar"/>
    <w:qFormat/>
    <w:pPr>
      <w:overflowPunct w:val="0"/>
      <w:autoSpaceDE w:val="0"/>
      <w:autoSpaceDN w:val="0"/>
      <w:adjustRightInd w:val="0"/>
      <w:spacing w:after="240" w:line="240" w:lineRule="auto"/>
      <w:jc w:val="center"/>
      <w:textAlignment w:val="baseline"/>
    </w:pPr>
    <w:rPr>
      <w:rFonts w:ascii="Arial Bold" w:eastAsia="Times New Roman" w:hAnsi="Arial Bold"/>
      <w:b/>
      <w:caps/>
      <w:sz w:val="22"/>
      <w:szCs w:val="22"/>
    </w:rPr>
  </w:style>
  <w:style w:type="character" w:customStyle="1" w:styleId="GPSTITLESChar">
    <w:name w:val="GPS TITLES Char"/>
    <w:link w:val="GPSTITLES"/>
    <w:rPr>
      <w:rFonts w:ascii="Arial Bold" w:eastAsia="Times New Roman" w:hAnsi="Arial Bold" w:cs="Arial"/>
      <w:b/>
      <w:caps/>
    </w:rPr>
  </w:style>
  <w:style w:type="paragraph" w:customStyle="1" w:styleId="ORDERFORML1SECTIONTITLE">
    <w:name w:val="ORDER FORM L1 SECTION TITLE"/>
    <w:basedOn w:val="Normal"/>
    <w:link w:val="ORDERFORML1SECTIONTITLEChar"/>
    <w:qFormat/>
    <w:pPr>
      <w:spacing w:before="360" w:after="360" w:line="240" w:lineRule="auto"/>
      <w:ind w:right="936"/>
    </w:pPr>
    <w:rPr>
      <w:rFonts w:eastAsia="Calibri" w:cs="Times New Roman"/>
      <w:b/>
      <w:color w:val="C00000"/>
      <w:sz w:val="22"/>
      <w:szCs w:val="22"/>
    </w:rPr>
  </w:style>
  <w:style w:type="paragraph" w:customStyle="1" w:styleId="ORDERFORML1NONBOLDNONNUMBERTEXT">
    <w:name w:val="ORDER FORM L1 NON BOLD NON NUMBER TEXT"/>
    <w:basedOn w:val="MarginText"/>
    <w:link w:val="ORDERFORML1NONBOLDNONNUMBERTEXTChar"/>
    <w:qFormat/>
    <w:pPr>
      <w:ind w:left="0"/>
    </w:pPr>
    <w:rPr>
      <w:rFonts w:ascii="Arial" w:hAnsi="Arial"/>
      <w:sz w:val="22"/>
      <w:szCs w:val="22"/>
    </w:rPr>
  </w:style>
  <w:style w:type="character" w:customStyle="1" w:styleId="ORDERFORML1SECTIONTITLEChar">
    <w:name w:val="ORDER FORM L1 SECTION TITLE Char"/>
    <w:link w:val="ORDERFORML1SECTIONTITLE"/>
    <w:rPr>
      <w:rFonts w:ascii="Arial" w:eastAsia="Calibri" w:hAnsi="Arial" w:cs="Times New Roman"/>
      <w:b/>
      <w:color w:val="C00000"/>
    </w:rPr>
  </w:style>
  <w:style w:type="character" w:customStyle="1" w:styleId="ORDERFORML1NONBOLDNONNUMBERTEXTChar">
    <w:name w:val="ORDER FORM L1 NON BOLD NON NUMBER TEXT Char"/>
    <w:link w:val="ORDERFORML1NONBOLDNONNUMBERTEXT"/>
    <w:rPr>
      <w:rFonts w:ascii="Arial" w:eastAsia="STZhongsong" w:hAnsi="Arial" w:cs="Times New Roman"/>
      <w:lang w:eastAsia="zh-CN"/>
    </w:rPr>
  </w:style>
  <w:style w:type="character" w:customStyle="1" w:styleId="ORDERFORML2TitleChar">
    <w:name w:val="ORDER FORM L2 Title Char"/>
    <w:link w:val="ORDERFORML2Title"/>
    <w:rPr>
      <w:rFonts w:ascii="Arial" w:eastAsia="STZhongsong" w:hAnsi="Arial" w:cs="Times New Roman"/>
      <w:b/>
      <w:lang w:eastAsia="zh-CN"/>
    </w:rPr>
  </w:style>
  <w:style w:type="paragraph" w:customStyle="1" w:styleId="11table">
    <w:name w:val="1.1 table"/>
    <w:basedOn w:val="Normal"/>
    <w:link w:val="11tableChar"/>
    <w:qFormat/>
    <w:pPr>
      <w:numPr>
        <w:ilvl w:val="1"/>
        <w:numId w:val="23"/>
      </w:numPr>
      <w:adjustRightInd w:val="0"/>
      <w:spacing w:after="0" w:line="240" w:lineRule="auto"/>
    </w:pPr>
    <w:rPr>
      <w:rFonts w:ascii="Calibri" w:eastAsia="STZhongsong" w:hAnsi="Calibri" w:cs="Times New Roman"/>
      <w:b/>
      <w:sz w:val="22"/>
      <w:szCs w:val="22"/>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Style9">
    <w:name w:val="Style9"/>
    <w:basedOn w:val="ListParagraph"/>
    <w:qFormat/>
    <w:pPr>
      <w:numPr>
        <w:ilvl w:val="1"/>
        <w:numId w:val="43"/>
      </w:numPr>
      <w:spacing w:before="120" w:after="120" w:line="240" w:lineRule="auto"/>
      <w:contextualSpacing w:val="0"/>
      <w:jc w:val="both"/>
    </w:pPr>
    <w:rPr>
      <w:rFonts w:eastAsia="Times New Roman"/>
      <w:sz w:val="22"/>
      <w:szCs w:val="22"/>
      <w:lang w:eastAsia="zh-CN"/>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29848">
      <w:bodyDiv w:val="1"/>
      <w:marLeft w:val="0"/>
      <w:marRight w:val="0"/>
      <w:marTop w:val="0"/>
      <w:marBottom w:val="0"/>
      <w:divBdr>
        <w:top w:val="none" w:sz="0" w:space="0" w:color="auto"/>
        <w:left w:val="none" w:sz="0" w:space="0" w:color="auto"/>
        <w:bottom w:val="none" w:sz="0" w:space="0" w:color="auto"/>
        <w:right w:val="none" w:sz="0" w:space="0" w:color="auto"/>
      </w:divBdr>
    </w:div>
    <w:div w:id="1855260485">
      <w:bodyDiv w:val="1"/>
      <w:marLeft w:val="0"/>
      <w:marRight w:val="0"/>
      <w:marTop w:val="0"/>
      <w:marBottom w:val="0"/>
      <w:divBdr>
        <w:top w:val="none" w:sz="0" w:space="0" w:color="auto"/>
        <w:left w:val="none" w:sz="0" w:space="0" w:color="auto"/>
        <w:bottom w:val="none" w:sz="0" w:space="0" w:color="auto"/>
        <w:right w:val="none" w:sz="0" w:space="0" w:color="auto"/>
      </w:divBdr>
    </w:div>
    <w:div w:id="1903446574">
      <w:bodyDiv w:val="1"/>
      <w:marLeft w:val="0"/>
      <w:marRight w:val="0"/>
      <w:marTop w:val="0"/>
      <w:marBottom w:val="0"/>
      <w:divBdr>
        <w:top w:val="none" w:sz="0" w:space="0" w:color="auto"/>
        <w:left w:val="none" w:sz="0" w:space="0" w:color="auto"/>
        <w:bottom w:val="none" w:sz="0" w:space="0" w:color="auto"/>
        <w:right w:val="none" w:sz="0" w:space="0" w:color="auto"/>
      </w:divBdr>
      <w:divsChild>
        <w:div w:id="972101168">
          <w:marLeft w:val="0"/>
          <w:marRight w:val="0"/>
          <w:marTop w:val="0"/>
          <w:marBottom w:val="0"/>
          <w:divBdr>
            <w:top w:val="none" w:sz="0" w:space="0" w:color="auto"/>
            <w:left w:val="none" w:sz="0" w:space="0" w:color="auto"/>
            <w:bottom w:val="none" w:sz="0" w:space="0" w:color="auto"/>
            <w:right w:val="none" w:sz="0" w:space="0" w:color="auto"/>
          </w:divBdr>
        </w:div>
        <w:div w:id="576088460">
          <w:blockQuote w:val="1"/>
          <w:marLeft w:val="600"/>
          <w:marRight w:val="0"/>
          <w:marTop w:val="0"/>
          <w:marBottom w:val="0"/>
          <w:divBdr>
            <w:top w:val="none" w:sz="0" w:space="0" w:color="auto"/>
            <w:left w:val="none" w:sz="0" w:space="0" w:color="auto"/>
            <w:bottom w:val="none" w:sz="0" w:space="0" w:color="auto"/>
            <w:right w:val="none" w:sz="0" w:space="0" w:color="auto"/>
          </w:divBdr>
          <w:divsChild>
            <w:div w:id="889078689">
              <w:marLeft w:val="0"/>
              <w:marRight w:val="0"/>
              <w:marTop w:val="0"/>
              <w:marBottom w:val="0"/>
              <w:divBdr>
                <w:top w:val="none" w:sz="0" w:space="0" w:color="auto"/>
                <w:left w:val="none" w:sz="0" w:space="0" w:color="auto"/>
                <w:bottom w:val="none" w:sz="0" w:space="0" w:color="auto"/>
                <w:right w:val="none" w:sz="0" w:space="0" w:color="auto"/>
              </w:divBdr>
            </w:div>
          </w:divsChild>
        </w:div>
        <w:div w:id="722632219">
          <w:blockQuote w:val="1"/>
          <w:marLeft w:val="600"/>
          <w:marRight w:val="0"/>
          <w:marTop w:val="0"/>
          <w:marBottom w:val="0"/>
          <w:divBdr>
            <w:top w:val="none" w:sz="0" w:space="0" w:color="auto"/>
            <w:left w:val="none" w:sz="0" w:space="0" w:color="auto"/>
            <w:bottom w:val="none" w:sz="0" w:space="0" w:color="auto"/>
            <w:right w:val="none" w:sz="0" w:space="0" w:color="auto"/>
          </w:divBdr>
          <w:divsChild>
            <w:div w:id="2112970166">
              <w:blockQuote w:val="1"/>
              <w:marLeft w:val="600"/>
              <w:marRight w:val="0"/>
              <w:marTop w:val="0"/>
              <w:marBottom w:val="0"/>
              <w:divBdr>
                <w:top w:val="none" w:sz="0" w:space="0" w:color="auto"/>
                <w:left w:val="none" w:sz="0" w:space="0" w:color="auto"/>
                <w:bottom w:val="none" w:sz="0" w:space="0" w:color="auto"/>
                <w:right w:val="none" w:sz="0" w:space="0" w:color="auto"/>
              </w:divBdr>
              <w:divsChild>
                <w:div w:id="1414009949">
                  <w:marLeft w:val="0"/>
                  <w:marRight w:val="0"/>
                  <w:marTop w:val="0"/>
                  <w:marBottom w:val="0"/>
                  <w:divBdr>
                    <w:top w:val="none" w:sz="0" w:space="0" w:color="auto"/>
                    <w:left w:val="none" w:sz="0" w:space="0" w:color="auto"/>
                    <w:bottom w:val="none" w:sz="0" w:space="0" w:color="auto"/>
                    <w:right w:val="none" w:sz="0" w:space="0" w:color="auto"/>
                  </w:divBdr>
                </w:div>
                <w:div w:id="1214272817">
                  <w:marLeft w:val="0"/>
                  <w:marRight w:val="0"/>
                  <w:marTop w:val="0"/>
                  <w:marBottom w:val="0"/>
                  <w:divBdr>
                    <w:top w:val="none" w:sz="0" w:space="0" w:color="auto"/>
                    <w:left w:val="none" w:sz="0" w:space="0" w:color="auto"/>
                    <w:bottom w:val="none" w:sz="0" w:space="0" w:color="auto"/>
                    <w:right w:val="none" w:sz="0" w:space="0" w:color="auto"/>
                  </w:divBdr>
                </w:div>
                <w:div w:id="1749495343">
                  <w:marLeft w:val="0"/>
                  <w:marRight w:val="0"/>
                  <w:marTop w:val="0"/>
                  <w:marBottom w:val="0"/>
                  <w:divBdr>
                    <w:top w:val="none" w:sz="0" w:space="0" w:color="auto"/>
                    <w:left w:val="none" w:sz="0" w:space="0" w:color="auto"/>
                    <w:bottom w:val="none" w:sz="0" w:space="0" w:color="auto"/>
                    <w:right w:val="none" w:sz="0" w:space="0" w:color="auto"/>
                  </w:divBdr>
                </w:div>
                <w:div w:id="1296762686">
                  <w:marLeft w:val="0"/>
                  <w:marRight w:val="0"/>
                  <w:marTop w:val="0"/>
                  <w:marBottom w:val="0"/>
                  <w:divBdr>
                    <w:top w:val="none" w:sz="0" w:space="0" w:color="auto"/>
                    <w:left w:val="none" w:sz="0" w:space="0" w:color="auto"/>
                    <w:bottom w:val="none" w:sz="0" w:space="0" w:color="auto"/>
                    <w:right w:val="none" w:sz="0" w:space="0" w:color="auto"/>
                  </w:divBdr>
                </w:div>
                <w:div w:id="1592658350">
                  <w:marLeft w:val="0"/>
                  <w:marRight w:val="0"/>
                  <w:marTop w:val="0"/>
                  <w:marBottom w:val="0"/>
                  <w:divBdr>
                    <w:top w:val="none" w:sz="0" w:space="0" w:color="auto"/>
                    <w:left w:val="none" w:sz="0" w:space="0" w:color="auto"/>
                    <w:bottom w:val="none" w:sz="0" w:space="0" w:color="auto"/>
                    <w:right w:val="none" w:sz="0" w:space="0" w:color="auto"/>
                  </w:divBdr>
                </w:div>
                <w:div w:id="13393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guidelines-for-the-directive-on-the-promotion-of-clean-and-energy-efficient-road-transport-vehicles-2009-33-ec" TargetMode="External"/><Relationship Id="rId18" Type="http://schemas.openxmlformats.org/officeDocument/2006/relationships/hyperlink" Target="http://www.legislation.gov.uk/uksi/2013/3113/contents/ma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publications/government-security-classifications" TargetMode="External"/><Relationship Id="rId7" Type="http://schemas.openxmlformats.org/officeDocument/2006/relationships/endnotes" Target="endnotes.xml"/><Relationship Id="rId12" Type="http://schemas.openxmlformats.org/officeDocument/2006/relationships/hyperlink" Target="https://www.gov.uk/government/policies/sustainable-development" TargetMode="External"/><Relationship Id="rId17" Type="http://schemas.openxmlformats.org/officeDocument/2006/relationships/hyperlink" Target="http://www.hse.gov.uk/waste/waste-electrical.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uidance/rohs-compliance-and-guidance" TargetMode="External"/><Relationship Id="rId20" Type="http://schemas.openxmlformats.org/officeDocument/2006/relationships/hyperlink" Target="http://www.legislation.gov.uk/ukpga/1974/37/cont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1986/1078/contents/mad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publications/sustainable-procurement-the-gbs-for-office-ict-equipment" TargetMode="External"/><Relationship Id="rId23" Type="http://schemas.openxmlformats.org/officeDocument/2006/relationships/hyperlink" Target="http://ec.europa.eu/eurostat/web/nuts/local-administrative-units" TargetMode="External"/><Relationship Id="rId10" Type="http://schemas.openxmlformats.org/officeDocument/2006/relationships/hyperlink" Target="http://www.dft.gov.uk/vca/" TargetMode="External"/><Relationship Id="rId19" Type="http://schemas.openxmlformats.org/officeDocument/2006/relationships/hyperlink" Target="http://www.legislation.gov.uk/ukpga/2012/3/enacted" TargetMode="External"/><Relationship Id="rId4" Type="http://schemas.openxmlformats.org/officeDocument/2006/relationships/settings" Target="settings.xml"/><Relationship Id="rId9" Type="http://schemas.openxmlformats.org/officeDocument/2006/relationships/hyperlink" Target="http://www.dft.gov.uk/vca/vehicletype/index.asp" TargetMode="External"/><Relationship Id="rId14" Type="http://schemas.openxmlformats.org/officeDocument/2006/relationships/hyperlink" Target="https://www.gov.uk/government/publications/government-buying-standards" TargetMode="External"/><Relationship Id="rId22" Type="http://schemas.openxmlformats.org/officeDocument/2006/relationships/hyperlink" Target="http://www.fcs.org.uk/image_upload/files/FCS%201362%202016(1).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D39C5-E39E-4FBD-AE51-C0ADB8AB5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2780</Words>
  <Characters>15851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Joyce</dc:creator>
  <cp:lastModifiedBy>Graham Perry</cp:lastModifiedBy>
  <cp:revision>3</cp:revision>
  <cp:lastPrinted>2017-07-10T10:41:00Z</cp:lastPrinted>
  <dcterms:created xsi:type="dcterms:W3CDTF">2017-11-24T09:44:00Z</dcterms:created>
  <dcterms:modified xsi:type="dcterms:W3CDTF">2017-11-24T09:44:00Z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237f027a-4829-4ef9-886b-93fbbce81b5d</vt:lpwstr>
  </property>
</Properties>
</file>